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4F8" w:rsidRPr="00A814F8" w:rsidRDefault="00A814F8" w:rsidP="00A814F8">
      <w:pPr>
        <w:shd w:val="clear" w:color="auto" w:fill="FFFFFF"/>
        <w:spacing w:line="240" w:lineRule="auto"/>
        <w:jc w:val="center"/>
        <w:outlineLvl w:val="0"/>
        <w:rPr>
          <w:rFonts w:ascii="Tahoma" w:eastAsia="Times New Roman" w:hAnsi="Tahoma" w:cs="Tahoma"/>
          <w:b/>
          <w:bCs/>
          <w:color w:val="337CD7"/>
          <w:kern w:val="36"/>
          <w:sz w:val="20"/>
          <w:szCs w:val="20"/>
          <w:lang w:eastAsia="ru-RU"/>
        </w:rPr>
      </w:pPr>
      <w:r w:rsidRPr="00A814F8">
        <w:rPr>
          <w:rFonts w:ascii="Tahoma" w:eastAsia="Times New Roman" w:hAnsi="Tahoma" w:cs="Tahoma"/>
          <w:b/>
          <w:bCs/>
          <w:color w:val="337CD7"/>
          <w:kern w:val="36"/>
          <w:sz w:val="20"/>
          <w:szCs w:val="20"/>
          <w:lang w:eastAsia="ru-RU"/>
        </w:rPr>
        <w:t>Перечень индикаторов риска нарушения обязательных требований, порядок отнесения объектов контроля к категориям риска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1. </w:t>
      </w:r>
      <w:proofErr w:type="gram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Муниципальный 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контрольным органом на постоянной основе проводится мониторинг (сбор, обработка, анализ и учет) сведений, используемых для оценки и управления рисками причинения вреда (ущерба).</w:t>
      </w:r>
      <w:proofErr w:type="gramEnd"/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 В целях управления рисками причинения вреда (ущерба) при осуществлении муниципального контроля объекты контроля могут быть отнесены к одной из следующих категорий риска причинения вреда (ущерба) (далее – категории риска):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средний риск;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умеренный риск;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- низкий риск.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 Критерии отнесения объектов контроля к категориям риска в рамках осуществления муниципального контроля установлены приложением № 1.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5. Перечень индикаторов риска нарушения </w:t>
      </w:r>
      <w:proofErr w:type="gram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обязательных требований, проверяемых в рамках осуществления муниципального контроля установлен</w:t>
      </w:r>
      <w:proofErr w:type="gramEnd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приложением № 2.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6. В случае если объект контроля не отнесен к определенной категории риска, он считается отнесенным к категории низкого риска.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7.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8. Контрольный орган ведет перечни земельных участков, отнесенных к одной из категорий риска (далее – перечни земельных участков).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Перечни земельных участков содержат следующую информацию: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а) кадастровый номер земельного участка или при его отсутствии адрес местоположения земельного участка;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б) категория риска, к которой отнесен земельный участок;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в) реквизиты решения об отнесении земельного участка к категории риска.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9. Перечни земельных участков с указанием категорий риска размещаются на официальном сайте Контрольного органа.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Приложение № 1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Критерии отнесения объектов контроля к категориям риска в рамках осуществления муниципального земельного контроля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1. К категории среднего риска относятся: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а) земельные участки, предназначенные для захоронения и размещения твердых бытовых отходов, размещения кладбищ, и примыкающие</w:t>
      </w: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к ним земельные участки;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lastRenderedPageBreak/>
        <w:t>б) земельные участки, предназначенные для гаражного</w:t>
      </w: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и (или) жилищного строительства, ведения личного подсобного хозяйства (приусадебные земельные участки).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 К категории умеренного риска относятся земельные участки</w:t>
      </w: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br/>
        <w:t>со следующими видами разрешенного использования: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а) сельскохозяйственное использование (код 1.0);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б) объекты торговли (торговые центры, торгово-развлекательные центры (комплексы) (код 4.2);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в) рынки (код 4.3);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г) магазины (код 4.4);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д) общественное питание (код 4.6);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е) гостиничное обслуживание (код 4.7);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ж) объекты дорожного сервиса (код 4.9.1);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з) тяжелая промышленность (код 6.2);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и) легкая промышленность (код 6.3);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к) фармацевтическая промышленность (код 6.3.1);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л) пищевая промышленность (код 6.4);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м) нефтехимическая промышленность (код 6.5);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н) строительная промышленность (код 6.6);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о) энергетика (код 6.7);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п) склады (код 6.9);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р) целлюлозно-бумажная промышленность (код 6.11);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с) автомобильный транспорт (код 7.2);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т) ведение садоводства (код 13.2);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у) ведение огородничества (код 13.1);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proofErr w:type="gram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ф) граничащие с земельными участками с видами разрешенного использования:</w:t>
      </w:r>
      <w:proofErr w:type="gramEnd"/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сельскохозяйственное использование (код 1.0);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питомники (код 1.17);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природно-познавательный туризм (код 5.2);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деятельность по особой охране и изучению природы (код 9.0);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охрана природных территорий (код 9.1);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курортная деятельность (код 9.2);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санаторная деятельность (код 9.2.1);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резервные леса (код 10.4);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общее пользование водными объектами (код 11.1);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гидротехнические сооружения (код 11.3);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ведение огородничества (код 13.1);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left="708"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ведение садоводства (код 13.2).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3. К категории низкого риска относятся все иные земельные участки, не отнесенные к категориям среднего или умеренного риска.</w:t>
      </w:r>
    </w:p>
    <w:p w:rsidR="00A814F8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</w:pP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right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bookmarkStart w:id="0" w:name="_GoBack"/>
      <w:bookmarkEnd w:id="0"/>
      <w:r w:rsidRPr="00A814F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lastRenderedPageBreak/>
        <w:t>Приложение № 2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center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b/>
          <w:bCs/>
          <w:color w:val="666666"/>
          <w:sz w:val="18"/>
          <w:szCs w:val="18"/>
          <w:lang w:eastAsia="ru-RU"/>
        </w:rPr>
        <w:t>Перечень индикаторов риска нарушения обязательных требований, проверяемых в рамках осуществления муниципального земельного  контроля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 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1. 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2. Несоответствие фактического использования контролируемым лицом земельного участка цели использования земельного участка, сведения о которой содержатся в Едином государственном реестре недвижимости, правоустанавливающих документах на земельный участок.</w:t>
      </w:r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3. </w:t>
      </w:r>
      <w:proofErr w:type="gram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Длительное </w:t>
      </w:r>
      <w:proofErr w:type="spellStart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неосвоение</w:t>
      </w:r>
      <w:proofErr w:type="spellEnd"/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 xml:space="preserve"> земельного участка при условии, что с момента предоставления земельного участка прошло более трех лет, либо истек срок освоения земельного участка, указанный в договоре аренды земельного участка, а на земельном участке не наблюдаются характерные изменения (отсутствие объекта капитального строительства, ведения строительных работ и иных действий по использованию земельного участка в соответствии с его разрешенным использованием и условиями предоставления).</w:t>
      </w:r>
      <w:proofErr w:type="gramEnd"/>
    </w:p>
    <w:p w:rsidR="00A814F8" w:rsidRPr="00A814F8" w:rsidRDefault="00A814F8" w:rsidP="00A814F8">
      <w:pPr>
        <w:shd w:val="clear" w:color="auto" w:fill="FFFFFF"/>
        <w:spacing w:before="105" w:after="105" w:line="270" w:lineRule="atLeast"/>
        <w:ind w:firstLine="708"/>
        <w:jc w:val="both"/>
        <w:rPr>
          <w:rFonts w:ascii="Tahoma" w:eastAsia="Times New Roman" w:hAnsi="Tahoma" w:cs="Tahoma"/>
          <w:color w:val="666666"/>
          <w:sz w:val="18"/>
          <w:szCs w:val="18"/>
          <w:lang w:eastAsia="ru-RU"/>
        </w:rPr>
      </w:pPr>
      <w:r w:rsidRPr="00A814F8">
        <w:rPr>
          <w:rFonts w:ascii="Tahoma" w:eastAsia="Times New Roman" w:hAnsi="Tahoma" w:cs="Tahoma"/>
          <w:color w:val="666666"/>
          <w:sz w:val="18"/>
          <w:szCs w:val="18"/>
          <w:lang w:eastAsia="ru-RU"/>
        </w:rPr>
        <w:t>4. Невыполнение обязательных требований к оформлению документов, являющихся основанием для использования земельных участков.</w:t>
      </w:r>
    </w:p>
    <w:p w:rsidR="00585BF2" w:rsidRDefault="00585BF2"/>
    <w:sectPr w:rsidR="00585BF2" w:rsidSect="0094691E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F086B"/>
    <w:rsid w:val="000F086B"/>
    <w:rsid w:val="00171D61"/>
    <w:rsid w:val="00585BF2"/>
    <w:rsid w:val="00743D94"/>
    <w:rsid w:val="00757162"/>
    <w:rsid w:val="008E3E93"/>
    <w:rsid w:val="0094691E"/>
    <w:rsid w:val="00A814F8"/>
    <w:rsid w:val="00DD2750"/>
    <w:rsid w:val="00DE5914"/>
    <w:rsid w:val="00FD3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67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868</Words>
  <Characters>4948</Characters>
  <Application>Microsoft Office Word</Application>
  <DocSecurity>0</DocSecurity>
  <Lines>41</Lines>
  <Paragraphs>11</Paragraphs>
  <ScaleCrop>false</ScaleCrop>
  <Company>Microsoft</Company>
  <LinksUpToDate>false</LinksUpToDate>
  <CharactersWithSpaces>5805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MiakiUpr</dc:creator>
  <cp:lastModifiedBy>1</cp:lastModifiedBy>
  <cp:revision>2</cp:revision>
  <dcterms:created xsi:type="dcterms:W3CDTF">2024-02-15T12:19:00Z</dcterms:created>
  <dcterms:modified xsi:type="dcterms:W3CDTF">2024-02-15T12:19:00Z</dcterms:modified>
</cp:coreProperties>
</file>