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pPr w:leftFromText="180" w:rightFromText="180" w:vertAnchor="page" w:horzAnchor="margin" w:tblpY="1077"/>
        <w:tblW w:w="9639" w:type="dxa"/>
        <w:tblLayout w:type="fixed"/>
        <w:tblLook w:val="04A0"/>
      </w:tblPr>
      <w:tblGrid>
        <w:gridCol w:w="567"/>
        <w:gridCol w:w="1560"/>
        <w:gridCol w:w="283"/>
        <w:gridCol w:w="1701"/>
        <w:gridCol w:w="851"/>
        <w:gridCol w:w="4677"/>
      </w:tblGrid>
      <w:tr w:rsidR="00AE4D39" w:rsidTr="006D4F40">
        <w:trPr>
          <w:trHeight w:val="290"/>
        </w:trPr>
        <w:tc>
          <w:tcPr>
            <w:tcW w:w="4111" w:type="dxa"/>
            <w:gridSpan w:val="4"/>
            <w:tcBorders>
              <w:top w:val="nil"/>
              <w:left w:val="nil"/>
              <w:bottom w:val="nil"/>
              <w:right w:val="nil"/>
            </w:tcBorders>
          </w:tcPr>
          <w:p w:rsidR="00AE4D39" w:rsidRPr="008614C3" w:rsidRDefault="00AE4D39" w:rsidP="00B406B6">
            <w:pPr>
              <w:tabs>
                <w:tab w:val="left" w:pos="2447"/>
              </w:tabs>
              <w:spacing w:after="0" w:line="240" w:lineRule="auto"/>
              <w:ind w:left="-249" w:right="-172"/>
              <w:jc w:val="center"/>
              <w:rPr>
                <w:rFonts w:ascii="Times New Roman" w:hAnsi="Times New Roman" w:cs="Times New Roman"/>
                <w:b/>
                <w:sz w:val="16"/>
                <w:szCs w:val="16"/>
              </w:rPr>
            </w:pPr>
          </w:p>
        </w:tc>
        <w:tc>
          <w:tcPr>
            <w:tcW w:w="851" w:type="dxa"/>
            <w:tcBorders>
              <w:top w:val="nil"/>
              <w:left w:val="nil"/>
              <w:bottom w:val="nil"/>
              <w:right w:val="nil"/>
            </w:tcBorders>
          </w:tcPr>
          <w:p w:rsidR="00AE4D39" w:rsidRDefault="00AE4D39" w:rsidP="00B406B6">
            <w:pPr>
              <w:pStyle w:val="a3"/>
              <w:ind w:firstLine="0"/>
            </w:pPr>
          </w:p>
        </w:tc>
        <w:tc>
          <w:tcPr>
            <w:tcW w:w="4677" w:type="dxa"/>
            <w:tcBorders>
              <w:top w:val="nil"/>
              <w:left w:val="nil"/>
              <w:bottom w:val="nil"/>
              <w:right w:val="nil"/>
            </w:tcBorders>
          </w:tcPr>
          <w:p w:rsidR="00AE4D39" w:rsidRDefault="00AE4D39" w:rsidP="00B406B6">
            <w:pPr>
              <w:pStyle w:val="a3"/>
              <w:ind w:left="-106" w:firstLine="0"/>
            </w:pPr>
          </w:p>
        </w:tc>
      </w:tr>
      <w:tr w:rsidR="00AE4D39" w:rsidTr="006D4F40">
        <w:trPr>
          <w:trHeight w:val="1990"/>
        </w:trPr>
        <w:tc>
          <w:tcPr>
            <w:tcW w:w="4111" w:type="dxa"/>
            <w:gridSpan w:val="4"/>
            <w:tcBorders>
              <w:top w:val="nil"/>
              <w:left w:val="nil"/>
              <w:bottom w:val="nil"/>
              <w:right w:val="nil"/>
            </w:tcBorders>
          </w:tcPr>
          <w:p w:rsidR="00B406B6" w:rsidRDefault="00B406B6" w:rsidP="00C0749C">
            <w:pPr>
              <w:tabs>
                <w:tab w:val="left" w:pos="2447"/>
              </w:tabs>
              <w:spacing w:after="0" w:line="240" w:lineRule="auto"/>
              <w:ind w:left="-109" w:right="312"/>
              <w:jc w:val="center"/>
              <w:rPr>
                <w:rFonts w:ascii="Times New Roman" w:hAnsi="Times New Roman" w:cs="Times New Roman"/>
                <w:b/>
                <w:sz w:val="16"/>
                <w:szCs w:val="16"/>
              </w:rPr>
            </w:pPr>
          </w:p>
          <w:p w:rsidR="00B406B6" w:rsidRPr="00A15B68" w:rsidRDefault="00B406B6" w:rsidP="00C0749C">
            <w:pPr>
              <w:tabs>
                <w:tab w:val="left" w:pos="2447"/>
              </w:tabs>
              <w:spacing w:after="0" w:line="240" w:lineRule="auto"/>
              <w:ind w:left="-109" w:right="312"/>
              <w:jc w:val="center"/>
              <w:rPr>
                <w:rFonts w:ascii="Times New Roman" w:hAnsi="Times New Roman" w:cs="Times New Roman"/>
                <w:b/>
                <w:sz w:val="10"/>
                <w:szCs w:val="10"/>
              </w:rPr>
            </w:pPr>
          </w:p>
          <w:p w:rsidR="00AE4D39" w:rsidRPr="008614C3" w:rsidRDefault="00AE4D39" w:rsidP="00C0749C">
            <w:pPr>
              <w:tabs>
                <w:tab w:val="left" w:pos="2447"/>
              </w:tabs>
              <w:spacing w:after="0" w:line="240" w:lineRule="auto"/>
              <w:ind w:left="-109" w:right="312"/>
              <w:jc w:val="center"/>
              <w:rPr>
                <w:rFonts w:ascii="Times New Roman" w:hAnsi="Times New Roman" w:cs="Times New Roman"/>
                <w:b/>
                <w:sz w:val="16"/>
                <w:szCs w:val="16"/>
              </w:rPr>
            </w:pPr>
            <w:r w:rsidRPr="008614C3">
              <w:rPr>
                <w:rFonts w:ascii="Times New Roman" w:hAnsi="Times New Roman" w:cs="Times New Roman"/>
                <w:b/>
                <w:sz w:val="16"/>
                <w:szCs w:val="16"/>
              </w:rPr>
              <w:t>ПРОКУРАТУРА</w:t>
            </w:r>
          </w:p>
          <w:p w:rsidR="00AE4D39" w:rsidRPr="008614C3" w:rsidRDefault="00AE4D39" w:rsidP="00C0749C">
            <w:pPr>
              <w:tabs>
                <w:tab w:val="left" w:pos="2447"/>
              </w:tabs>
              <w:spacing w:after="0" w:line="240" w:lineRule="auto"/>
              <w:ind w:left="-109" w:right="312"/>
              <w:jc w:val="center"/>
              <w:rPr>
                <w:rFonts w:ascii="Times New Roman" w:hAnsi="Times New Roman" w:cs="Times New Roman"/>
                <w:b/>
                <w:sz w:val="16"/>
                <w:szCs w:val="16"/>
              </w:rPr>
            </w:pPr>
            <w:r w:rsidRPr="008614C3">
              <w:rPr>
                <w:rFonts w:ascii="Times New Roman" w:hAnsi="Times New Roman" w:cs="Times New Roman"/>
                <w:b/>
                <w:sz w:val="16"/>
                <w:szCs w:val="16"/>
              </w:rPr>
              <w:t>РОССИЙСКОЙ ФЕДЕРАЦИИ</w:t>
            </w:r>
          </w:p>
          <w:p w:rsidR="00AE4D39" w:rsidRPr="008C328D" w:rsidRDefault="00AE4D39" w:rsidP="00C0749C">
            <w:pPr>
              <w:tabs>
                <w:tab w:val="left" w:pos="2447"/>
              </w:tabs>
              <w:spacing w:after="0" w:line="240" w:lineRule="auto"/>
              <w:ind w:left="-109" w:right="312"/>
              <w:jc w:val="center"/>
              <w:rPr>
                <w:rFonts w:ascii="Times New Roman" w:hAnsi="Times New Roman" w:cs="Times New Roman"/>
                <w:sz w:val="4"/>
                <w:szCs w:val="4"/>
              </w:rPr>
            </w:pPr>
          </w:p>
          <w:p w:rsidR="00AE4D39" w:rsidRPr="008C328D" w:rsidRDefault="00AE4D39" w:rsidP="00C0749C">
            <w:pPr>
              <w:tabs>
                <w:tab w:val="left" w:pos="2447"/>
              </w:tabs>
              <w:spacing w:after="0" w:line="240" w:lineRule="auto"/>
              <w:ind w:left="-109" w:right="312"/>
              <w:jc w:val="center"/>
              <w:rPr>
                <w:rFonts w:ascii="Times New Roman" w:hAnsi="Times New Roman" w:cs="Times New Roman"/>
                <w:sz w:val="4"/>
                <w:szCs w:val="4"/>
              </w:rPr>
            </w:pPr>
          </w:p>
          <w:p w:rsidR="00524955" w:rsidRDefault="00524955" w:rsidP="00524955">
            <w:pPr>
              <w:spacing w:after="0" w:line="240" w:lineRule="exact"/>
              <w:ind w:left="-109" w:right="312"/>
              <w:jc w:val="center"/>
              <w:rPr>
                <w:rFonts w:ascii="Times New Roman" w:hAnsi="Times New Roman" w:cs="Times New Roman"/>
                <w:b/>
                <w:sz w:val="20"/>
                <w:szCs w:val="20"/>
              </w:rPr>
            </w:pPr>
            <w:r>
              <w:rPr>
                <w:rFonts w:ascii="Times New Roman" w:hAnsi="Times New Roman" w:cs="Times New Roman"/>
                <w:b/>
                <w:sz w:val="20"/>
                <w:szCs w:val="20"/>
              </w:rPr>
              <w:t>ПРОКУРАТУРА</w:t>
            </w:r>
          </w:p>
          <w:p w:rsidR="00524955" w:rsidRDefault="00524955" w:rsidP="00524955">
            <w:pPr>
              <w:tabs>
                <w:tab w:val="left" w:pos="2447"/>
                <w:tab w:val="left" w:pos="4395"/>
              </w:tabs>
              <w:spacing w:after="0" w:line="240" w:lineRule="exact"/>
              <w:ind w:left="-109" w:right="312"/>
              <w:jc w:val="center"/>
              <w:rPr>
                <w:rFonts w:ascii="Times New Roman" w:hAnsi="Times New Roman" w:cs="Times New Roman"/>
                <w:b/>
                <w:sz w:val="20"/>
                <w:szCs w:val="20"/>
              </w:rPr>
            </w:pPr>
            <w:r>
              <w:rPr>
                <w:rFonts w:ascii="Times New Roman" w:hAnsi="Times New Roman" w:cs="Times New Roman"/>
                <w:b/>
                <w:sz w:val="20"/>
                <w:szCs w:val="20"/>
              </w:rPr>
              <w:t>ЕРМЕКЕЕВСКОГО РАЙОНА</w:t>
            </w:r>
          </w:p>
          <w:p w:rsidR="00524955" w:rsidRDefault="00524955" w:rsidP="00524955">
            <w:pPr>
              <w:tabs>
                <w:tab w:val="left" w:pos="2447"/>
                <w:tab w:val="left" w:pos="4395"/>
              </w:tabs>
              <w:spacing w:after="0" w:line="240" w:lineRule="auto"/>
              <w:ind w:left="-109" w:right="312"/>
              <w:jc w:val="center"/>
              <w:rPr>
                <w:rFonts w:ascii="Times New Roman" w:hAnsi="Times New Roman" w:cs="Times New Roman"/>
                <w:b/>
                <w:sz w:val="4"/>
                <w:szCs w:val="4"/>
              </w:rPr>
            </w:pPr>
          </w:p>
          <w:p w:rsidR="00524955" w:rsidRDefault="00524955" w:rsidP="00524955">
            <w:pPr>
              <w:tabs>
                <w:tab w:val="left" w:pos="2447"/>
              </w:tabs>
              <w:spacing w:after="0" w:line="240" w:lineRule="auto"/>
              <w:ind w:left="-109" w:right="312"/>
              <w:jc w:val="center"/>
              <w:rPr>
                <w:rFonts w:ascii="Times New Roman" w:hAnsi="Times New Roman" w:cs="Times New Roman"/>
                <w:b/>
                <w:sz w:val="20"/>
                <w:szCs w:val="20"/>
              </w:rPr>
            </w:pPr>
            <w:r>
              <w:rPr>
                <w:rFonts w:ascii="Times New Roman" w:hAnsi="Times New Roman" w:cs="Times New Roman"/>
                <w:b/>
                <w:sz w:val="20"/>
                <w:szCs w:val="20"/>
              </w:rPr>
              <w:t>ЙӘРМӘКӘЙ РАЙОНЫ</w:t>
            </w:r>
          </w:p>
          <w:p w:rsidR="00524955" w:rsidRDefault="00524955" w:rsidP="00524955">
            <w:pPr>
              <w:tabs>
                <w:tab w:val="left" w:pos="2447"/>
                <w:tab w:val="left" w:pos="4395"/>
              </w:tabs>
              <w:spacing w:after="0" w:line="240" w:lineRule="auto"/>
              <w:ind w:left="-109" w:right="312"/>
              <w:jc w:val="center"/>
              <w:rPr>
                <w:rFonts w:ascii="Times New Roman" w:hAnsi="Times New Roman" w:cs="Times New Roman"/>
                <w:b/>
                <w:sz w:val="21"/>
                <w:szCs w:val="21"/>
              </w:rPr>
            </w:pPr>
            <w:r>
              <w:rPr>
                <w:rFonts w:ascii="Times New Roman" w:hAnsi="Times New Roman" w:cs="Times New Roman"/>
                <w:b/>
                <w:sz w:val="20"/>
                <w:szCs w:val="20"/>
              </w:rPr>
              <w:t>ПРОКУРАТУРАҺЫ</w:t>
            </w:r>
          </w:p>
          <w:p w:rsidR="00524955" w:rsidRDefault="00524955" w:rsidP="00524955">
            <w:pPr>
              <w:tabs>
                <w:tab w:val="left" w:pos="2447"/>
                <w:tab w:val="left" w:pos="4395"/>
              </w:tabs>
              <w:spacing w:after="0" w:line="240" w:lineRule="auto"/>
              <w:ind w:left="-109" w:right="312"/>
              <w:jc w:val="center"/>
              <w:rPr>
                <w:rFonts w:ascii="Times New Roman" w:hAnsi="Times New Roman" w:cs="Times New Roman"/>
                <w:sz w:val="6"/>
                <w:szCs w:val="6"/>
              </w:rPr>
            </w:pPr>
          </w:p>
          <w:p w:rsidR="00524955" w:rsidRDefault="00524955" w:rsidP="00524955">
            <w:pPr>
              <w:tabs>
                <w:tab w:val="left" w:pos="2447"/>
                <w:tab w:val="left" w:pos="4395"/>
              </w:tabs>
              <w:spacing w:after="0" w:line="288" w:lineRule="auto"/>
              <w:ind w:left="-109" w:right="312"/>
              <w:jc w:val="center"/>
              <w:rPr>
                <w:rFonts w:ascii="Times New Roman" w:hAnsi="Times New Roman" w:cs="Times New Roman"/>
                <w:b/>
                <w:sz w:val="14"/>
                <w:szCs w:val="14"/>
              </w:rPr>
            </w:pPr>
            <w:r>
              <w:rPr>
                <w:rFonts w:ascii="Times New Roman" w:hAnsi="Times New Roman" w:cs="Times New Roman"/>
                <w:b/>
                <w:sz w:val="14"/>
                <w:szCs w:val="14"/>
              </w:rPr>
              <w:t>ул. Ленина, 5, с. Ермекеево, 452190,</w:t>
            </w:r>
          </w:p>
          <w:p w:rsidR="00AE4D39" w:rsidRPr="004C25DC" w:rsidRDefault="00524955" w:rsidP="00524955">
            <w:pPr>
              <w:tabs>
                <w:tab w:val="left" w:pos="2447"/>
                <w:tab w:val="left" w:pos="4395"/>
              </w:tabs>
              <w:spacing w:after="0" w:line="240" w:lineRule="auto"/>
              <w:ind w:left="-109" w:right="312"/>
              <w:jc w:val="center"/>
              <w:rPr>
                <w:rFonts w:ascii="Times New Roman" w:hAnsi="Times New Roman" w:cs="Times New Roman"/>
                <w:b/>
                <w:sz w:val="14"/>
                <w:szCs w:val="14"/>
              </w:rPr>
            </w:pPr>
            <w:r>
              <w:rPr>
                <w:rFonts w:ascii="Times New Roman" w:hAnsi="Times New Roman" w:cs="Times New Roman"/>
                <w:b/>
                <w:sz w:val="14"/>
                <w:szCs w:val="14"/>
              </w:rPr>
              <w:t>тел.: (34741)2-74-73, факс: (34741)2-74-73</w:t>
            </w:r>
          </w:p>
        </w:tc>
        <w:tc>
          <w:tcPr>
            <w:tcW w:w="851" w:type="dxa"/>
            <w:vMerge w:val="restart"/>
            <w:tcBorders>
              <w:top w:val="nil"/>
              <w:left w:val="nil"/>
              <w:bottom w:val="nil"/>
              <w:right w:val="nil"/>
            </w:tcBorders>
          </w:tcPr>
          <w:p w:rsidR="00AE4D39" w:rsidRDefault="00AE4D39" w:rsidP="00B406B6">
            <w:pPr>
              <w:pStyle w:val="a3"/>
              <w:ind w:firstLine="0"/>
            </w:pPr>
          </w:p>
        </w:tc>
        <w:tc>
          <w:tcPr>
            <w:tcW w:w="4677" w:type="dxa"/>
            <w:vMerge w:val="restart"/>
            <w:tcBorders>
              <w:top w:val="nil"/>
              <w:left w:val="nil"/>
              <w:bottom w:val="nil"/>
              <w:right w:val="nil"/>
            </w:tcBorders>
          </w:tcPr>
          <w:p w:rsidR="00DB2B79" w:rsidRDefault="00DB2B79" w:rsidP="00DB2B79">
            <w:pPr>
              <w:pStyle w:val="a3"/>
              <w:spacing w:line="240" w:lineRule="exact"/>
              <w:ind w:left="-108" w:hanging="2"/>
            </w:pPr>
            <w:r>
              <w:t xml:space="preserve">Главе администрации </w:t>
            </w:r>
          </w:p>
          <w:p w:rsidR="00DB2B79" w:rsidRDefault="00DB2B79" w:rsidP="00DB2B79">
            <w:pPr>
              <w:pStyle w:val="a3"/>
              <w:spacing w:line="240" w:lineRule="exact"/>
              <w:ind w:left="-108" w:hanging="2"/>
            </w:pPr>
            <w:r>
              <w:t xml:space="preserve">муниципального района </w:t>
            </w:r>
          </w:p>
          <w:p w:rsidR="00DB2B79" w:rsidRDefault="00DB2B79" w:rsidP="00DB2B79">
            <w:pPr>
              <w:pStyle w:val="a3"/>
              <w:spacing w:line="240" w:lineRule="exact"/>
              <w:ind w:left="-108" w:hanging="2"/>
            </w:pPr>
            <w:r>
              <w:t>Ермекеевский район РБ</w:t>
            </w:r>
          </w:p>
          <w:p w:rsidR="00DB2B79" w:rsidRDefault="00DB2B79" w:rsidP="00DB2B79">
            <w:pPr>
              <w:pStyle w:val="a3"/>
              <w:spacing w:line="240" w:lineRule="exact"/>
              <w:ind w:left="-108" w:hanging="2"/>
            </w:pPr>
          </w:p>
          <w:p w:rsidR="00DB2B79" w:rsidRDefault="00DB2B79" w:rsidP="00DB2B79">
            <w:pPr>
              <w:pStyle w:val="a3"/>
              <w:spacing w:line="240" w:lineRule="exact"/>
              <w:ind w:left="-108" w:hanging="2"/>
            </w:pPr>
            <w:proofErr w:type="spellStart"/>
            <w:r>
              <w:t>Райманову</w:t>
            </w:r>
            <w:proofErr w:type="spellEnd"/>
            <w:r>
              <w:t xml:space="preserve"> И.А.</w:t>
            </w:r>
          </w:p>
          <w:p w:rsidR="00DB2B79" w:rsidRDefault="00DB2B79" w:rsidP="00DB2B79">
            <w:pPr>
              <w:pStyle w:val="a3"/>
              <w:spacing w:line="240" w:lineRule="exact"/>
              <w:ind w:left="-108" w:hanging="2"/>
            </w:pPr>
          </w:p>
          <w:p w:rsidR="00DB2B79" w:rsidRDefault="00DB2B79" w:rsidP="00DB2B79">
            <w:pPr>
              <w:pStyle w:val="a3"/>
              <w:spacing w:line="240" w:lineRule="exact"/>
              <w:ind w:left="-108" w:hanging="2"/>
            </w:pPr>
            <w:r>
              <w:t xml:space="preserve">Главам сельских поселений </w:t>
            </w:r>
          </w:p>
          <w:p w:rsidR="00DB2B79" w:rsidRDefault="00DB2B79" w:rsidP="00DB2B79">
            <w:pPr>
              <w:pStyle w:val="a3"/>
              <w:spacing w:line="240" w:lineRule="exact"/>
              <w:ind w:left="-108" w:hanging="2"/>
            </w:pPr>
            <w:r>
              <w:t xml:space="preserve">муниципального района </w:t>
            </w:r>
          </w:p>
          <w:p w:rsidR="00AE4D39" w:rsidRDefault="00DB2B79" w:rsidP="00DB2B79">
            <w:pPr>
              <w:pStyle w:val="a3"/>
              <w:spacing w:line="240" w:lineRule="exact"/>
              <w:ind w:left="-108" w:firstLine="0"/>
              <w:jc w:val="left"/>
            </w:pPr>
            <w:r>
              <w:t>Ермекеевский район РБ</w:t>
            </w:r>
          </w:p>
        </w:tc>
      </w:tr>
      <w:tr w:rsidR="00AE4D39" w:rsidTr="006D4F40">
        <w:tc>
          <w:tcPr>
            <w:tcW w:w="4111" w:type="dxa"/>
            <w:gridSpan w:val="4"/>
            <w:tcBorders>
              <w:top w:val="nil"/>
              <w:left w:val="nil"/>
              <w:bottom w:val="nil"/>
              <w:right w:val="nil"/>
            </w:tcBorders>
          </w:tcPr>
          <w:p w:rsidR="00811B20" w:rsidRPr="00811B20" w:rsidRDefault="00811B20" w:rsidP="00B406B6">
            <w:pPr>
              <w:spacing w:after="0" w:line="240" w:lineRule="auto"/>
              <w:ind w:left="-113" w:right="-107"/>
              <w:rPr>
                <w:rFonts w:ascii="Times New Roman" w:hAnsi="Times New Roman" w:cs="Times New Roman"/>
                <w:sz w:val="20"/>
                <w:szCs w:val="20"/>
              </w:rPr>
            </w:pPr>
            <w:bookmarkStart w:id="0" w:name="REGNUMDATESTAMP"/>
            <w:r w:rsidRPr="00380DF4">
              <w:rPr>
                <w:rFonts w:ascii="Times New Roman" w:hAnsi="Times New Roman" w:cs="Times New Roman"/>
                <w:color w:val="A5A5A5" w:themeColor="accent3"/>
                <w:sz w:val="20"/>
                <w:szCs w:val="20"/>
              </w:rPr>
              <w:t>данные о регистрации (автоматически</w:t>
            </w:r>
            <w:r w:rsidR="004705C7" w:rsidRPr="00380DF4">
              <w:rPr>
                <w:rFonts w:ascii="Times New Roman" w:hAnsi="Times New Roman" w:cs="Times New Roman"/>
                <w:color w:val="A5A5A5" w:themeColor="accent3"/>
                <w:sz w:val="20"/>
                <w:szCs w:val="20"/>
              </w:rPr>
              <w:t>)</w:t>
            </w:r>
            <w:bookmarkEnd w:id="0"/>
          </w:p>
        </w:tc>
        <w:tc>
          <w:tcPr>
            <w:tcW w:w="851" w:type="dxa"/>
            <w:vMerge/>
            <w:tcBorders>
              <w:top w:val="nil"/>
              <w:left w:val="nil"/>
              <w:bottom w:val="nil"/>
              <w:right w:val="nil"/>
            </w:tcBorders>
          </w:tcPr>
          <w:p w:rsidR="00AE4D39" w:rsidRPr="00811B20" w:rsidRDefault="00AE4D39" w:rsidP="00B406B6">
            <w:pPr>
              <w:spacing w:after="0" w:line="240" w:lineRule="auto"/>
              <w:ind w:left="-113"/>
            </w:pPr>
          </w:p>
        </w:tc>
        <w:tc>
          <w:tcPr>
            <w:tcW w:w="4677" w:type="dxa"/>
            <w:vMerge/>
            <w:tcBorders>
              <w:top w:val="nil"/>
              <w:left w:val="nil"/>
              <w:right w:val="nil"/>
            </w:tcBorders>
          </w:tcPr>
          <w:p w:rsidR="00AE4D39" w:rsidRPr="00811B20" w:rsidRDefault="00AE4D39" w:rsidP="00B406B6">
            <w:pPr>
              <w:spacing w:after="0" w:line="240" w:lineRule="auto"/>
              <w:ind w:left="-113"/>
            </w:pPr>
          </w:p>
        </w:tc>
      </w:tr>
      <w:tr w:rsidR="00AE4D39" w:rsidTr="006D4F40">
        <w:trPr>
          <w:trHeight w:val="474"/>
        </w:trPr>
        <w:tc>
          <w:tcPr>
            <w:tcW w:w="567" w:type="dxa"/>
            <w:tcBorders>
              <w:top w:val="nil"/>
              <w:left w:val="nil"/>
              <w:bottom w:val="nil"/>
              <w:right w:val="nil"/>
            </w:tcBorders>
          </w:tcPr>
          <w:p w:rsidR="00AE4D39" w:rsidRDefault="00AE4D39" w:rsidP="00B406B6">
            <w:pPr>
              <w:spacing w:after="0" w:line="240" w:lineRule="auto"/>
              <w:ind w:left="-113"/>
              <w:rPr>
                <w:rFonts w:ascii="Times New Roman" w:hAnsi="Times New Roman" w:cs="Times New Roman"/>
                <w:sz w:val="20"/>
                <w:szCs w:val="20"/>
              </w:rPr>
            </w:pPr>
          </w:p>
          <w:p w:rsidR="00811B20" w:rsidRPr="004705C7" w:rsidRDefault="00811B20" w:rsidP="00B406B6">
            <w:pPr>
              <w:spacing w:after="0" w:line="240" w:lineRule="auto"/>
              <w:ind w:left="-113" w:right="-104"/>
              <w:rPr>
                <w:rFonts w:ascii="Times New Roman" w:hAnsi="Times New Roman" w:cs="Times New Roman"/>
                <w:b/>
                <w:sz w:val="20"/>
                <w:szCs w:val="20"/>
              </w:rPr>
            </w:pPr>
            <w:r w:rsidRPr="004705C7">
              <w:rPr>
                <w:rFonts w:ascii="Times New Roman" w:hAnsi="Times New Roman" w:cs="Times New Roman"/>
                <w:b/>
                <w:sz w:val="20"/>
                <w:szCs w:val="20"/>
              </w:rPr>
              <w:t>на №</w:t>
            </w:r>
          </w:p>
        </w:tc>
        <w:tc>
          <w:tcPr>
            <w:tcW w:w="1560" w:type="dxa"/>
            <w:tcBorders>
              <w:top w:val="nil"/>
              <w:left w:val="nil"/>
              <w:bottom w:val="nil"/>
              <w:right w:val="nil"/>
            </w:tcBorders>
          </w:tcPr>
          <w:p w:rsidR="00AE4D39" w:rsidRDefault="00AE4D39" w:rsidP="00B406B6">
            <w:pPr>
              <w:spacing w:after="0" w:line="240" w:lineRule="auto"/>
              <w:ind w:left="-113"/>
              <w:rPr>
                <w:rFonts w:ascii="Times New Roman" w:hAnsi="Times New Roman" w:cs="Times New Roman"/>
                <w:sz w:val="20"/>
                <w:szCs w:val="20"/>
              </w:rPr>
            </w:pPr>
          </w:p>
          <w:p w:rsidR="00811B20" w:rsidRPr="00811B20" w:rsidRDefault="00811B20" w:rsidP="00B406B6">
            <w:pPr>
              <w:spacing w:after="0" w:line="240" w:lineRule="auto"/>
              <w:ind w:left="-113" w:right="-109"/>
              <w:rPr>
                <w:rFonts w:ascii="Times New Roman" w:hAnsi="Times New Roman" w:cs="Times New Roman"/>
                <w:sz w:val="20"/>
                <w:szCs w:val="20"/>
              </w:rPr>
            </w:pPr>
          </w:p>
        </w:tc>
        <w:tc>
          <w:tcPr>
            <w:tcW w:w="283" w:type="dxa"/>
            <w:tcBorders>
              <w:top w:val="nil"/>
              <w:left w:val="nil"/>
              <w:bottom w:val="nil"/>
              <w:right w:val="nil"/>
            </w:tcBorders>
          </w:tcPr>
          <w:p w:rsidR="00AE4D39" w:rsidRDefault="00AE4D39" w:rsidP="00B406B6">
            <w:pPr>
              <w:spacing w:after="0" w:line="240" w:lineRule="auto"/>
              <w:ind w:left="-113"/>
              <w:rPr>
                <w:rFonts w:ascii="Times New Roman" w:hAnsi="Times New Roman" w:cs="Times New Roman"/>
                <w:sz w:val="20"/>
                <w:szCs w:val="20"/>
              </w:rPr>
            </w:pPr>
          </w:p>
          <w:p w:rsidR="004705C7" w:rsidRPr="004705C7" w:rsidRDefault="004705C7" w:rsidP="00B406B6">
            <w:pPr>
              <w:spacing w:after="0" w:line="240" w:lineRule="auto"/>
              <w:ind w:left="-113" w:right="-109"/>
              <w:rPr>
                <w:rFonts w:ascii="Times New Roman" w:hAnsi="Times New Roman" w:cs="Times New Roman"/>
                <w:b/>
                <w:sz w:val="20"/>
                <w:szCs w:val="20"/>
              </w:rPr>
            </w:pPr>
            <w:r w:rsidRPr="004705C7">
              <w:rPr>
                <w:rFonts w:ascii="Times New Roman" w:hAnsi="Times New Roman" w:cs="Times New Roman"/>
                <w:b/>
                <w:sz w:val="20"/>
                <w:szCs w:val="20"/>
              </w:rPr>
              <w:t>от</w:t>
            </w:r>
          </w:p>
        </w:tc>
        <w:tc>
          <w:tcPr>
            <w:tcW w:w="1701" w:type="dxa"/>
            <w:tcBorders>
              <w:top w:val="nil"/>
              <w:left w:val="nil"/>
              <w:bottom w:val="nil"/>
              <w:right w:val="nil"/>
            </w:tcBorders>
          </w:tcPr>
          <w:p w:rsidR="004705C7" w:rsidRPr="006A6242" w:rsidRDefault="004705C7" w:rsidP="00C0749C">
            <w:pPr>
              <w:spacing w:after="0" w:line="240" w:lineRule="auto"/>
              <w:ind w:left="-113" w:right="-252"/>
              <w:rPr>
                <w:rFonts w:ascii="Times New Roman" w:hAnsi="Times New Roman" w:cs="Times New Roman"/>
                <w:sz w:val="20"/>
                <w:szCs w:val="20"/>
              </w:rPr>
            </w:pPr>
          </w:p>
        </w:tc>
        <w:tc>
          <w:tcPr>
            <w:tcW w:w="851" w:type="dxa"/>
            <w:tcBorders>
              <w:top w:val="nil"/>
              <w:left w:val="nil"/>
              <w:bottom w:val="nil"/>
              <w:right w:val="nil"/>
            </w:tcBorders>
          </w:tcPr>
          <w:p w:rsidR="00AE4D39" w:rsidRDefault="00AE4D39" w:rsidP="00B406B6">
            <w:pPr>
              <w:ind w:left="-113"/>
            </w:pPr>
          </w:p>
        </w:tc>
        <w:tc>
          <w:tcPr>
            <w:tcW w:w="4677" w:type="dxa"/>
            <w:vMerge/>
            <w:tcBorders>
              <w:left w:val="nil"/>
              <w:bottom w:val="nil"/>
              <w:right w:val="nil"/>
            </w:tcBorders>
          </w:tcPr>
          <w:p w:rsidR="00AE4D39" w:rsidRDefault="00AE4D39" w:rsidP="00B406B6">
            <w:pPr>
              <w:ind w:left="-113"/>
            </w:pPr>
          </w:p>
        </w:tc>
      </w:tr>
      <w:tr w:rsidR="00484BA9" w:rsidTr="005D00ED">
        <w:trPr>
          <w:gridAfter w:val="2"/>
          <w:wAfter w:w="5528" w:type="dxa"/>
          <w:trHeight w:val="474"/>
        </w:trPr>
        <w:tc>
          <w:tcPr>
            <w:tcW w:w="4111" w:type="dxa"/>
            <w:gridSpan w:val="4"/>
            <w:tcBorders>
              <w:top w:val="nil"/>
              <w:left w:val="nil"/>
              <w:bottom w:val="nil"/>
              <w:right w:val="nil"/>
            </w:tcBorders>
          </w:tcPr>
          <w:p w:rsidR="0053141D" w:rsidRPr="0053141D" w:rsidRDefault="0053141D" w:rsidP="0053141D">
            <w:pPr>
              <w:widowControl w:val="0"/>
              <w:suppressAutoHyphens/>
              <w:spacing w:after="0" w:line="227" w:lineRule="exact"/>
              <w:ind w:hanging="113"/>
              <w:rPr>
                <w:rFonts w:ascii="Times New Roman" w:eastAsia="Courier New" w:hAnsi="Times New Roman" w:cs="Times New Roman"/>
                <w:b/>
                <w:sz w:val="28"/>
                <w:szCs w:val="28"/>
                <w:lang w:eastAsia="zh-CN" w:bidi="hi-IN"/>
              </w:rPr>
            </w:pPr>
            <w:r w:rsidRPr="0053141D">
              <w:rPr>
                <w:rFonts w:ascii="Times New Roman" w:eastAsia="Courier New" w:hAnsi="Times New Roman" w:cs="Times New Roman"/>
                <w:b/>
                <w:sz w:val="28"/>
                <w:szCs w:val="28"/>
                <w:lang w:eastAsia="zh-CN" w:bidi="hi-IN"/>
              </w:rPr>
              <w:t>СТАТЬ</w:t>
            </w:r>
            <w:r w:rsidR="00DB2B79">
              <w:rPr>
                <w:rFonts w:ascii="Times New Roman" w:eastAsia="Courier New" w:hAnsi="Times New Roman" w:cs="Times New Roman"/>
                <w:b/>
                <w:sz w:val="28"/>
                <w:szCs w:val="28"/>
                <w:lang w:eastAsia="zh-CN" w:bidi="hi-IN"/>
              </w:rPr>
              <w:t>И</w:t>
            </w:r>
          </w:p>
          <w:p w:rsidR="00DB2B79" w:rsidRDefault="0053141D" w:rsidP="0053141D">
            <w:pPr>
              <w:widowControl w:val="0"/>
              <w:suppressAutoHyphens/>
              <w:spacing w:after="0" w:line="227" w:lineRule="exact"/>
              <w:ind w:hanging="113"/>
              <w:rPr>
                <w:rFonts w:ascii="Times New Roman" w:eastAsia="Courier New" w:hAnsi="Times New Roman" w:cs="Times New Roman"/>
                <w:sz w:val="28"/>
                <w:szCs w:val="28"/>
                <w:lang w:eastAsia="zh-CN" w:bidi="hi-IN"/>
              </w:rPr>
            </w:pPr>
            <w:r w:rsidRPr="0053141D">
              <w:rPr>
                <w:rFonts w:ascii="Times New Roman" w:eastAsia="Courier New" w:hAnsi="Times New Roman" w:cs="Times New Roman"/>
                <w:sz w:val="28"/>
                <w:szCs w:val="28"/>
                <w:lang w:eastAsia="zh-CN" w:bidi="hi-IN"/>
              </w:rPr>
              <w:t xml:space="preserve">для публикации </w:t>
            </w:r>
            <w:r w:rsidR="00DB2B79">
              <w:rPr>
                <w:rFonts w:ascii="Times New Roman" w:eastAsia="Courier New" w:hAnsi="Times New Roman" w:cs="Times New Roman"/>
                <w:sz w:val="28"/>
                <w:szCs w:val="28"/>
                <w:lang w:eastAsia="zh-CN" w:bidi="hi-IN"/>
              </w:rPr>
              <w:t xml:space="preserve">на </w:t>
            </w:r>
          </w:p>
          <w:p w:rsidR="00484BA9" w:rsidRPr="006A6242" w:rsidRDefault="00DB2B79" w:rsidP="0053141D">
            <w:pPr>
              <w:widowControl w:val="0"/>
              <w:suppressAutoHyphens/>
              <w:spacing w:after="0" w:line="227" w:lineRule="exact"/>
              <w:ind w:hanging="113"/>
              <w:rPr>
                <w:b/>
              </w:rPr>
            </w:pPr>
            <w:r>
              <w:rPr>
                <w:rFonts w:ascii="Times New Roman" w:eastAsia="Courier New" w:hAnsi="Times New Roman" w:cs="Times New Roman"/>
                <w:sz w:val="28"/>
                <w:szCs w:val="28"/>
                <w:lang w:eastAsia="zh-CN" w:bidi="hi-IN"/>
              </w:rPr>
              <w:t>официальных сайтах</w:t>
            </w:r>
          </w:p>
        </w:tc>
      </w:tr>
    </w:tbl>
    <w:p w:rsidR="004152CF" w:rsidRDefault="0036208D" w:rsidP="004C25DC">
      <w:pPr>
        <w:pStyle w:val="a3"/>
        <w:ind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1pt;margin-top:-3.5pt;width:56.25pt;height:69.1pt;z-index:-251658752;mso-position-horizontal-relative:text;mso-position-vertical-relative:text" fillcolor="window">
            <v:imagedata r:id="rId7" o:title=""/>
          </v:shape>
          <o:OLEObject Type="Embed" ProgID="Word.Picture.8" ShapeID="_x0000_s1026" DrawAspect="Content" ObjectID="_1717931164" r:id="rId8"/>
        </w:pict>
      </w:r>
    </w:p>
    <w:p w:rsidR="004152CF" w:rsidRDefault="004152CF" w:rsidP="004C25DC">
      <w:pPr>
        <w:pStyle w:val="a3"/>
        <w:ind w:firstLine="0"/>
      </w:pPr>
    </w:p>
    <w:p w:rsidR="00DB2B79" w:rsidRDefault="00DB2B79" w:rsidP="00DB2B79">
      <w:pPr>
        <w:pStyle w:val="a3"/>
      </w:pPr>
      <w:r>
        <w:t>1. С 1 июля 2022 г.  вступит в силу Постановление Правительства от 17 ноября 2021 г. № 1969 "О внесении изменений в некоторые акты Правительства Российской Федерации по вопросам осуществления единовременной выплаты средств пенсионных накоплений застрахованным лицам", которое предоставит гражданам обращаться за единовременной выплатой пенсионных накоплений через портал госуслуг. Лично же обратиться за выплатой можно будет не только в территориальный орган ПФР, но и в МФЦ.</w:t>
      </w:r>
    </w:p>
    <w:p w:rsidR="00DB2B79" w:rsidRDefault="00DB2B79" w:rsidP="00DB2B79">
      <w:pPr>
        <w:pStyle w:val="a3"/>
      </w:pPr>
      <w:r>
        <w:t>Граждане, желающие получить пенсионные накопления в виде единовременной выплаты, смогут это сделать по электронному заявлению в ПФР либо НПФ, в т. ч. через портал госуслуг. Кроме того, с письменного согласия застрахованного лица за выплатой может обратиться его работодатель.</w:t>
      </w:r>
    </w:p>
    <w:p w:rsidR="00DB2B79" w:rsidRDefault="00DB2B79" w:rsidP="00DB2B79">
      <w:pPr>
        <w:pStyle w:val="a3"/>
      </w:pPr>
      <w:r>
        <w:t>О принятом впоследствии уполномоченным органом решении об осуществлении выплаты или об отказе в выплате заявитель будет извещаться через личный кабинет на портале. Для лиц, не зарегистрированных на нем, предусмотрено направление уведомления по электронной почте – в случае наличия согласия заявителя на это – или почтой.</w:t>
      </w:r>
    </w:p>
    <w:p w:rsidR="00DB2B79" w:rsidRDefault="00DB2B79" w:rsidP="00DB2B79">
      <w:pPr>
        <w:pStyle w:val="a3"/>
      </w:pPr>
    </w:p>
    <w:p w:rsidR="00DB2B79" w:rsidRDefault="00DB2B79" w:rsidP="00DB2B79">
      <w:pPr>
        <w:pStyle w:val="a3"/>
      </w:pPr>
      <w:r>
        <w:t>2. До 1 июля 2022 года граждане смогут подать заявление на возвращение разовых социальных выплат. Это касается регулярных и единовременных пособии от государства: беременным, малоимущим семьям, на детей, надбавки к пенсиям, единовременные выплаты военнослужащим.</w:t>
      </w:r>
    </w:p>
    <w:p w:rsidR="00DB2B79" w:rsidRDefault="00DB2B79" w:rsidP="00DB2B79">
      <w:pPr>
        <w:pStyle w:val="a3"/>
      </w:pPr>
      <w:r>
        <w:t>Граждане могут получить назад начисления, сделанные до 1 мая 2022 года. Подать заявление в кредитную организацию, в котором потребовать возврата средств можно будет, сославшись на часть 1 статьи 101 Федерального закона от 2 октября 2007 года № 229-ФЗ «Об исполнительном производстве».</w:t>
      </w:r>
    </w:p>
    <w:p w:rsidR="00DB2B79" w:rsidRDefault="00DB2B79" w:rsidP="00DB2B79">
      <w:pPr>
        <w:pStyle w:val="a3"/>
      </w:pPr>
    </w:p>
    <w:p w:rsidR="00DB2B79" w:rsidRDefault="00DB2B79" w:rsidP="00DB2B79">
      <w:pPr>
        <w:pStyle w:val="a3"/>
      </w:pPr>
      <w:r>
        <w:t>3. Федеральным законом от 01.05.2022 № 136-ФЗ внесены изменения в Федеральный закон «О страховых пенсиях» и статью 1 Федерального закона «О внесении изменений в отдельные законодательные акты Российской Федерации».</w:t>
      </w:r>
    </w:p>
    <w:p w:rsidR="00DB2B79" w:rsidRDefault="00DB2B79" w:rsidP="00DB2B79">
      <w:pPr>
        <w:pStyle w:val="a3"/>
      </w:pPr>
      <w:r>
        <w:t xml:space="preserve"> Согласно Закону на получение пенсии по потере кормильца будут иметь право также лица, достигшие возраста 18 лет, </w:t>
      </w:r>
      <w:r>
        <w:lastRenderedPageBreak/>
        <w:t>окончившие школу, на период до 1 сентября года, в котором завершено обучение.</w:t>
      </w:r>
    </w:p>
    <w:p w:rsidR="00DB2B79" w:rsidRDefault="00DB2B79" w:rsidP="00DB2B79">
      <w:pPr>
        <w:pStyle w:val="a3"/>
      </w:pPr>
      <w:r>
        <w:t>После 1 сентября получатели страховых пенсий по потере кормильца по-прежнему смогут рассчитывать на выплаты, если подтвердят поступление в университет или колледж.</w:t>
      </w:r>
    </w:p>
    <w:p w:rsidR="00DB2B79" w:rsidRDefault="00DB2B79" w:rsidP="00DB2B79">
      <w:pPr>
        <w:pStyle w:val="a3"/>
      </w:pPr>
      <w:r>
        <w:t>При отсутствии документов (сведений), подтверждающих дальнейшее очное обучение такого лица по программам профобразования, выплата пенсии будет приостановлена на шесть месяцев начиная с 1 сентября года, в котором завершено школьное обучение.</w:t>
      </w:r>
    </w:p>
    <w:p w:rsidR="00DB2B79" w:rsidRDefault="00DB2B79" w:rsidP="00DB2B79">
      <w:pPr>
        <w:pStyle w:val="a3"/>
      </w:pPr>
      <w:r>
        <w:t>Федеральный закон вступил в силу с 01.06.2022.</w:t>
      </w:r>
    </w:p>
    <w:p w:rsidR="00DB2B79" w:rsidRDefault="00DB2B79" w:rsidP="00DB2B79">
      <w:pPr>
        <w:pStyle w:val="a3"/>
      </w:pPr>
    </w:p>
    <w:p w:rsidR="00DB2B79" w:rsidRDefault="00DB2B79" w:rsidP="00DB2B79">
      <w:pPr>
        <w:pStyle w:val="a3"/>
      </w:pPr>
      <w:r>
        <w:t>4. Опубликован Федеральный закон от 28.06.2021 г. № 231-ФЗ «О внесении изменений в Федеральный закон «Об оружии» и отдельные законодательные акты Российской Федерации».</w:t>
      </w:r>
    </w:p>
    <w:p w:rsidR="00DB2B79" w:rsidRDefault="00DB2B79" w:rsidP="00DB2B79">
      <w:pPr>
        <w:pStyle w:val="a3"/>
      </w:pPr>
      <w:r>
        <w:t xml:space="preserve"> Согласно Федеральному закону будет введена норма об увеличении возраста для приобретения охотничьего оружия от 18 до 21 года.</w:t>
      </w:r>
    </w:p>
    <w:p w:rsidR="00DB2B79" w:rsidRDefault="00DB2B79" w:rsidP="00DB2B79">
      <w:pPr>
        <w:pStyle w:val="a3"/>
      </w:pPr>
      <w:r>
        <w:t>Исключение сделано для граждан 18 летнего возраста, относящихся к представителям коренных малочисленных народов, работникам юридических лиц с особыми уставными задачами.</w:t>
      </w:r>
    </w:p>
    <w:p w:rsidR="00DB2B79" w:rsidRDefault="00DB2B79" w:rsidP="00DB2B79">
      <w:pPr>
        <w:pStyle w:val="a3"/>
      </w:pPr>
      <w:r>
        <w:t>Правило о запрете продавать указанные виды оружия гражданам моложе 21 года будет иметь ряд исключений. До этого возраста ружья смогут продавать:</w:t>
      </w:r>
    </w:p>
    <w:p w:rsidR="00DB2B79" w:rsidRDefault="00DB2B79" w:rsidP="00DB2B79">
      <w:pPr>
        <w:pStyle w:val="a3"/>
      </w:pPr>
      <w:r>
        <w:t>- прошедшим и проходящим на момент покупки военную службу,</w:t>
      </w:r>
    </w:p>
    <w:p w:rsidR="00DB2B79" w:rsidRDefault="00DB2B79" w:rsidP="00DB2B79">
      <w:pPr>
        <w:pStyle w:val="a3"/>
      </w:pPr>
      <w:r>
        <w:t>- служащим в государственных военизированных организациях,</w:t>
      </w:r>
    </w:p>
    <w:p w:rsidR="00DB2B79" w:rsidRDefault="00DB2B79" w:rsidP="00DB2B79">
      <w:pPr>
        <w:pStyle w:val="a3"/>
      </w:pPr>
      <w:r>
        <w:t>- имеющим воинские звания либо специальные звания или классные чины юстиции.</w:t>
      </w:r>
    </w:p>
    <w:p w:rsidR="00DB2B79" w:rsidRDefault="00DB2B79" w:rsidP="00DB2B79">
      <w:pPr>
        <w:pStyle w:val="a3"/>
      </w:pPr>
      <w:r>
        <w:t>Федеральный закон вступает в силу 29.06.2022.</w:t>
      </w:r>
    </w:p>
    <w:p w:rsidR="00DB2B79" w:rsidRDefault="00DB2B79" w:rsidP="00DB2B79">
      <w:pPr>
        <w:pStyle w:val="a3"/>
      </w:pPr>
    </w:p>
    <w:p w:rsidR="00DB2B79" w:rsidRDefault="00DB2B79" w:rsidP="00DB2B79">
      <w:pPr>
        <w:pStyle w:val="a3"/>
      </w:pPr>
      <w:r>
        <w:t>5. Постановлением Правительства Российской Федерации от 28.05.2022               № 973 "Об особенностях исчисления и установления в 2022 году минимального размера оплаты труда, величины прожиточного минимума, социальной доплаты к пенсии», опубликована норма, согласно которой с 1 июня 2022 г. страховые пенсии, прожиточный минимум и МРОТ будут проиндексированы на 10%.</w:t>
      </w:r>
    </w:p>
    <w:p w:rsidR="00DB2B79" w:rsidRDefault="00DB2B79" w:rsidP="00DB2B79">
      <w:pPr>
        <w:pStyle w:val="a3"/>
      </w:pPr>
      <w:r>
        <w:t>Согласно утвержденному документу Пенсионный Фонд РФ будет пересчитывать пенсии с применением коэффициента 1,1 и обеспечит доставку выплат в новых размерах уже в июне 2022 г. Помимо этого, ПФР обязан пересмотреть сумму социальных доплат к пенсии в связи с увеличением прожиточного минимума пенсионера в субъектах РФ и в стране в целом.</w:t>
      </w:r>
    </w:p>
    <w:p w:rsidR="00DB2B79" w:rsidRDefault="00DB2B79" w:rsidP="00DB2B79">
      <w:pPr>
        <w:pStyle w:val="a3"/>
      </w:pPr>
    </w:p>
    <w:p w:rsidR="00DB2B79" w:rsidRDefault="00DB2B79" w:rsidP="00DB2B79">
      <w:pPr>
        <w:pStyle w:val="a3"/>
      </w:pPr>
      <w:r>
        <w:t xml:space="preserve">6. Статьями 8.32 и 20.4 КоАП РФ ужесточена административная ответственность за нарушения пожарной безопасности.  Теперь, нарушение требований пожарной безопасности, повлекшее возникновение пожара и уничтожение или повреждение чужого имущества либо причинение лёгкого или средней тяжести вреда здоровью человека наказывается штрафом до 50 тыс. для граждан, до 100 тыс. для должностных лиц и предпринимателей и до 800 </w:t>
      </w:r>
      <w:r>
        <w:lastRenderedPageBreak/>
        <w:t>тыс. Это в 5-10 раз выше, по сравнению с предыдущей нормой, для граждан, в 2-3 раза – для должностных лиц, индивидуальных предпринимателей и юридических лиц.</w:t>
      </w:r>
    </w:p>
    <w:p w:rsidR="00DB2B79" w:rsidRDefault="00DB2B79" w:rsidP="00DB2B79">
      <w:pPr>
        <w:pStyle w:val="a3"/>
      </w:pPr>
      <w:r>
        <w:t xml:space="preserve"> Данные поправки введены Федеральным законом от 28.05.2022 № 141-ФЗ «О внесении изменений в КоАП РФ» и вступили в силу с 08 июня 2022 года.</w:t>
      </w:r>
    </w:p>
    <w:p w:rsidR="00DB2B79" w:rsidRDefault="00DB2B79" w:rsidP="00DB2B79">
      <w:pPr>
        <w:pStyle w:val="a3"/>
      </w:pPr>
    </w:p>
    <w:p w:rsidR="00DB2B79" w:rsidRDefault="00DB2B79" w:rsidP="00DB2B79">
      <w:pPr>
        <w:pStyle w:val="a3"/>
      </w:pPr>
      <w:r>
        <w:t>7. C 1 июля 2022 года вступает в силу Постановление Правительства РФ от 5 апреля 2022 г. № 588 "О признании лица инвалидом". Данное постановление устанавливает новые правила признания лица инвалидом.</w:t>
      </w:r>
    </w:p>
    <w:p w:rsidR="00DB2B79" w:rsidRDefault="00DB2B79" w:rsidP="00DB2B79">
      <w:pPr>
        <w:pStyle w:val="a3"/>
      </w:pPr>
      <w:r>
        <w:t>С 1 июля 2022 г. граждане смогут самостоятельно выбирать формат прохождения медико-социальной экспертизы (МСЭ) - очный, при личном присутствии, или заочный, когда все необходимые документы поступают из медицинских организаций в бюро МСЭ через систему межведомственного электронного взаимодействия.</w:t>
      </w:r>
    </w:p>
    <w:p w:rsidR="00DB2B79" w:rsidRDefault="00DB2B79" w:rsidP="00DB2B79">
      <w:pPr>
        <w:pStyle w:val="a3"/>
      </w:pPr>
      <w:r>
        <w:t>При этом в ряде случаев личное присутствие человека будет обязательным. Это несоответствие между данными медицинских исследований и заключениями врачей, направивших человека на МСЭ, необходимость обследования с помощью специального диагностического оборудования, проживание пациента в интернате, корректировка индивидуальной программы реабилитации.</w:t>
      </w:r>
    </w:p>
    <w:p w:rsidR="00DB2B79" w:rsidRDefault="00DB2B79" w:rsidP="00DB2B79">
      <w:pPr>
        <w:pStyle w:val="a3"/>
      </w:pPr>
      <w:r>
        <w:t>С 1 июня 2023 г. пройти МСЭ можно будет и в дистанционном формате - с помощью интернета. Им смогут воспользоваться граждане, которые не согласны с решением бюро МСЭ, намерены его обжаловать в вышестоящих учреждениях и пройти экспертизу повторно. В этом случае гражданин будет находиться в бюро по месту жительства, где ему предоставят техническую возможность общения со специалистами главного или федерального бюро МСЭ и прохождения повторной экспертизы.</w:t>
      </w:r>
    </w:p>
    <w:p w:rsidR="00DB2B79" w:rsidRDefault="00DB2B79" w:rsidP="00DB2B79">
      <w:pPr>
        <w:pStyle w:val="a3"/>
      </w:pPr>
      <w:r>
        <w:t>С 1 января 2024 г. заочная экспертиза будет проводиться без доступа сотрудников МСЭ к персональным данным гражданина, т. е. по обезличенным документам. Направления на проведение экспертизы будут распределяться с помощью информационной системы между бюро всех регионов независимо от места жительства самого гражданина. Персональные данные гражданина будут отражены в финальном документе - справке об инвалидности с указанием группы и индивидуальной программе реабилитации инвалида. Само решение будет направляться гражданину в личный кабинет на портале госуслуг или по почте. При этом, если гражданин не согласен с решением, он сможет его обжаловать в бюро МСЭ по месту жительства, где и будет проводиться очная экспертиза.</w:t>
      </w:r>
    </w:p>
    <w:p w:rsidR="00DB2B79" w:rsidRDefault="00DB2B79" w:rsidP="00DB2B79">
      <w:pPr>
        <w:pStyle w:val="a3"/>
      </w:pPr>
    </w:p>
    <w:p w:rsidR="00DB2B79" w:rsidRDefault="00DB2B79" w:rsidP="00DB2B79">
      <w:pPr>
        <w:pStyle w:val="a3"/>
      </w:pPr>
      <w:r>
        <w:t>8. Постановлением Правительства РФ от 04.06.2022 №1021 принята норма, в соответствии с которой работодатели смогут рассчитывать на господдержку в рамках программы субсидирования найма, если трудоустроят граждан, потерявших или рискующих потерять работу в 2022 году.</w:t>
      </w:r>
    </w:p>
    <w:p w:rsidR="00DB2B79" w:rsidRDefault="00DB2B79" w:rsidP="00DB2B79">
      <w:pPr>
        <w:pStyle w:val="a3"/>
      </w:pPr>
      <w:r>
        <w:t xml:space="preserve">Речь идет о людях, лишившихся работы из-за закрытия компаний или сокращения штата. Еще одна категория – сотрудники, </w:t>
      </w:r>
      <w:r>
        <w:lastRenderedPageBreak/>
        <w:t>которых в 2022 году перевели на постоянную работу к другому работодателю, однако сейчас они находятся под риском увольнения, в том числе отправлены в неоплачиваемый отпуск, переведены на неполный рабочий день.</w:t>
      </w:r>
    </w:p>
    <w:p w:rsidR="00DB2B79" w:rsidRDefault="00DB2B79" w:rsidP="00DB2B79">
      <w:pPr>
        <w:pStyle w:val="a3"/>
      </w:pPr>
      <w:r>
        <w:t>Чтобы получить господдержку, работодателю необходимо лично или с помощью портала «Работа России» обратиться в центр занятости для подбора персонала. Следующий шаг – направить заявление в ФСС. Осуществить это можно в формате онлайн благодаря системе «Соцстрах».</w:t>
      </w:r>
    </w:p>
    <w:p w:rsidR="00DB2B79" w:rsidRDefault="00DB2B79" w:rsidP="00DB2B79">
      <w:pPr>
        <w:pStyle w:val="a3"/>
      </w:pPr>
    </w:p>
    <w:p w:rsidR="00DB2B79" w:rsidRDefault="00DB2B79" w:rsidP="00DB2B79">
      <w:pPr>
        <w:pStyle w:val="a3"/>
      </w:pPr>
      <w:r>
        <w:t xml:space="preserve">9. В соответствии с  Постановлением Правительства РФ от 09.06.2022                    № 1057 "О внесении изменений в Правила выплаты и получения денежного приза по итогам стимулирующего мероприятия для граждан, принявших участие в вакцинации от новой </w:t>
      </w:r>
      <w:proofErr w:type="spellStart"/>
      <w:r>
        <w:t>коронавирусной</w:t>
      </w:r>
      <w:proofErr w:type="spellEnd"/>
      <w:r>
        <w:t xml:space="preserve"> инфекции" – выплата денежных призов по итогам стимулирующего мероприятия для граждан, принявших участие в вакцинации от COVID-19, будет осуществляться до 31 декабря 2022 года. </w:t>
      </w:r>
    </w:p>
    <w:p w:rsidR="00DB2B79" w:rsidRDefault="00DB2B79" w:rsidP="00DB2B79">
      <w:pPr>
        <w:pStyle w:val="a3"/>
      </w:pPr>
      <w:r>
        <w:t>В связи с чем, призер не позднее 30 сентября 2022 года должен указать в личном кабинете Единого портала госуслуг номер своего национального платежного инструмента.</w:t>
      </w:r>
    </w:p>
    <w:p w:rsidR="00DB2B79" w:rsidRDefault="00DB2B79" w:rsidP="00DB2B79">
      <w:pPr>
        <w:pStyle w:val="a3"/>
      </w:pPr>
      <w:r>
        <w:t>Если призер является недееспособным гражданином, то не позднее 30 сентября 2022 года в личном кабинете призера на Едином портале госуслуг в целях получения денежного приза указывается номер национального платежного инструмента его опекуна.</w:t>
      </w:r>
    </w:p>
    <w:p w:rsidR="00DB2B79" w:rsidRDefault="00DB2B79" w:rsidP="00DB2B79">
      <w:pPr>
        <w:pStyle w:val="a3"/>
      </w:pPr>
    </w:p>
    <w:p w:rsidR="00DB2B79" w:rsidRDefault="00DB2B79" w:rsidP="00DB2B79">
      <w:pPr>
        <w:pStyle w:val="a3"/>
      </w:pPr>
      <w:r>
        <w:t>10. Приказом Минприроды России от 08.04.2022 № 258 водится новое основание для отказа в выдаче разрешений на добычу охотничьих ресурсов.</w:t>
      </w:r>
    </w:p>
    <w:p w:rsidR="00DB2B79" w:rsidRDefault="00DB2B79" w:rsidP="00DB2B79">
      <w:pPr>
        <w:pStyle w:val="a3"/>
      </w:pPr>
      <w:r>
        <w:t xml:space="preserve">В выдаче разрешений будет отказано, если заявитель не направил сведения о добытых охотничьих ресурсах в сроки, предусмотренные ранее выданным разрешением, по месту получения такого разрешения юридическому лицу и ИП, заключившим </w:t>
      </w:r>
      <w:proofErr w:type="spellStart"/>
      <w:r>
        <w:t>охотхозяйственные</w:t>
      </w:r>
      <w:proofErr w:type="spellEnd"/>
      <w:r>
        <w:t xml:space="preserve"> соглашения, юридическому лицу и ИП, указанным в части 1 статьи 71 Закона об охоте, в уполномоченный орган либо в природоохранное учреждение, выдавшие такое разрешение, при условии, что последний из указанных в нем сроков охоты истек не более чем за один год до даты подачи заявления, в случаях, если разрешением предусмотрена необходимость направления таких сведений.</w:t>
      </w:r>
    </w:p>
    <w:p w:rsidR="00DB2B79" w:rsidRDefault="00DB2B79" w:rsidP="00DB2B79">
      <w:pPr>
        <w:pStyle w:val="a3"/>
      </w:pPr>
    </w:p>
    <w:p w:rsidR="00DB2B79" w:rsidRDefault="00DB2B79" w:rsidP="00DB2B79">
      <w:pPr>
        <w:pStyle w:val="a3"/>
      </w:pPr>
      <w:r>
        <w:t xml:space="preserve">11. Федеральным законом от 28.05.2022 №145-ФЗ внесены изменения в статью 14.8 Кодекса Российской Федерации об административных правонарушениях и установлена административная ответственность за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w:t>
      </w:r>
      <w:r>
        <w:lastRenderedPageBreak/>
        <w:t>в соответствии с ними иными нормативными правовыми актами или непосредственно связано с исполнением договора с потребителем.</w:t>
      </w:r>
    </w:p>
    <w:p w:rsidR="00DB2B79" w:rsidRDefault="00DB2B79" w:rsidP="00DB2B79">
      <w:pPr>
        <w:pStyle w:val="a3"/>
      </w:pPr>
      <w:r>
        <w:t>Санкцией статьи предусмотрено наложение административного штрафа на должностных лиц в размере от 5 до 10 тыс. рублей, на юридических лиц – от 30 до 50 тыс. рублей.</w:t>
      </w:r>
    </w:p>
    <w:p w:rsidR="00DB2B79" w:rsidRDefault="00DB2B79" w:rsidP="00DB2B79">
      <w:pPr>
        <w:pStyle w:val="a3"/>
      </w:pPr>
      <w:r>
        <w:t>Федеральный закон вступает в силу с 1 сентября 2022 года.</w:t>
      </w:r>
    </w:p>
    <w:p w:rsidR="00DB2B79" w:rsidRDefault="00DB2B79" w:rsidP="00DB2B79">
      <w:pPr>
        <w:pStyle w:val="a3"/>
      </w:pPr>
    </w:p>
    <w:p w:rsidR="00DB2B79" w:rsidRDefault="00DB2B79" w:rsidP="00DB2B79">
      <w:pPr>
        <w:pStyle w:val="a3"/>
      </w:pPr>
      <w:r>
        <w:t>12. Постановление Правительства РФ от 04.06.2022 № 1021 "О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DB2B79" w:rsidRDefault="00DB2B79" w:rsidP="00DB2B79">
      <w:pPr>
        <w:pStyle w:val="a3"/>
      </w:pPr>
      <w:r>
        <w:t>Компании, которые примут на работу граждан, потерявших или рискующих потерять работу в 2022 году, смогут рассчитывать на господдержку/</w:t>
      </w:r>
    </w:p>
    <w:p w:rsidR="00DB2B79" w:rsidRDefault="00DB2B79" w:rsidP="00DB2B79">
      <w:pPr>
        <w:pStyle w:val="a3"/>
      </w:pPr>
      <w:r>
        <w:t>Теперь из бюджета ФСС могут предоставляться субсидии также юрлицам и ИП в целях частичной компенсации затрат на выплату заработной платы трудоустроенным гражданам, которые, в частности, находились под риском увольнения, например, в случае введения режима неполного рабочего времени, простоя и т.д.</w:t>
      </w:r>
    </w:p>
    <w:p w:rsidR="00DB2B79" w:rsidRDefault="00DB2B79" w:rsidP="00DB2B79">
      <w:pPr>
        <w:pStyle w:val="a3"/>
      </w:pPr>
    </w:p>
    <w:p w:rsidR="00DB2B79" w:rsidRDefault="00DB2B79" w:rsidP="00DB2B79">
      <w:pPr>
        <w:pStyle w:val="a3"/>
      </w:pPr>
      <w:r>
        <w:t xml:space="preserve">13. Постановление Правительства РФ от 16.06.2022 № 1088 "О внесении изменения в пункт 2 постановления Правительства Российской Федерации от 10 марта 2022 г. № 339". </w:t>
      </w:r>
    </w:p>
    <w:p w:rsidR="00DB2B79" w:rsidRDefault="00DB2B79" w:rsidP="00DB2B79">
      <w:pPr>
        <w:pStyle w:val="a3"/>
      </w:pPr>
      <w:r>
        <w:t>Скорректированы дополнительные случаи и порядок закупки у единственного поставщика в 2022 году, ранее установленные Правительством РФ/</w:t>
      </w:r>
    </w:p>
    <w:p w:rsidR="00DB2B79" w:rsidRDefault="00DB2B79" w:rsidP="00DB2B79">
      <w:pPr>
        <w:pStyle w:val="a3"/>
      </w:pPr>
      <w:r>
        <w:t xml:space="preserve">Так, до конца 2022 года заказчик вправе осуществить закупку для госнужд у единственного поставщика (подрядчика, исполнителя), определенного соответственно актом Правительства РФ, высшего исполнительного органа государственной власти субъекта РФ, муниципальным правовым актом местной администрации, подготовленными также в случаях принятия соответствующих решений Президиумом Правительственной комиссии по повышению устойчивости российской экономики в условиях санкций. </w:t>
      </w:r>
    </w:p>
    <w:p w:rsidR="00DB2B79" w:rsidRDefault="00DB2B79" w:rsidP="00DB2B79">
      <w:pPr>
        <w:pStyle w:val="a3"/>
      </w:pPr>
      <w:r>
        <w:t>Настоящее Постановление вступает в силу со дня его официального опубликования и распространяется на правоотношения, возникшие с 14 марта 2022 года.</w:t>
      </w:r>
    </w:p>
    <w:p w:rsidR="00DB2B79" w:rsidRDefault="00DB2B79" w:rsidP="00DB2B79">
      <w:pPr>
        <w:pStyle w:val="a3"/>
      </w:pPr>
    </w:p>
    <w:p w:rsidR="00DB2B79" w:rsidRDefault="00DB2B79" w:rsidP="00DB2B79">
      <w:pPr>
        <w:pStyle w:val="a3"/>
      </w:pPr>
      <w:r>
        <w:t>14. Постановление Правительства РФ от 03.06.2022 № 1020 "О внесении изменений в постановление Правительства Российской Федерации от 12 марта 2022 г. № 353".</w:t>
      </w:r>
    </w:p>
    <w:p w:rsidR="00DB2B79" w:rsidRDefault="00DB2B79" w:rsidP="00DB2B79">
      <w:pPr>
        <w:pStyle w:val="a3"/>
      </w:pPr>
      <w:r>
        <w:t>Предусмотрены особенности разрешительных режимов в сфере водоснабжения и водоотведения в 2022 году.</w:t>
      </w:r>
    </w:p>
    <w:p w:rsidR="00DB2B79" w:rsidRDefault="00DB2B79" w:rsidP="00DB2B79">
      <w:pPr>
        <w:pStyle w:val="a3"/>
      </w:pPr>
      <w:r>
        <w:t xml:space="preserve">Установлено, что в текущем году при смене собственника или иного законного владельца централизованных систем горячего, холодного водоснабжения и/или водоотведения, отдельных объектов таких систем в случаях, указанных в документе, в отношении </w:t>
      </w:r>
      <w:r>
        <w:lastRenderedPageBreak/>
        <w:t xml:space="preserve">разрешений, предоставленных лицам, ранее осуществлявшим эксплуатацию указанных централизованных систем, и необходимых для осуществления деятельности организациями, осуществляющими горячее, холодное водоснабжение и/или водоотведение, допускается: внесение изменений в реестр лицензий в отношении отдельных лицензий; переоформление указанных в документе разрешений; внесение изменений в договоры водопользования (путем заключения дополнительного соглашения). </w:t>
      </w:r>
    </w:p>
    <w:p w:rsidR="00DB2B79" w:rsidRDefault="00DB2B79" w:rsidP="00DB2B79">
      <w:pPr>
        <w:pStyle w:val="a3"/>
      </w:pPr>
      <w:r>
        <w:t>Постановление вступает в силу со дня его официального опубликования.</w:t>
      </w:r>
    </w:p>
    <w:p w:rsidR="00DB2B79" w:rsidRDefault="00DB2B79" w:rsidP="00DB2B79">
      <w:pPr>
        <w:pStyle w:val="a3"/>
      </w:pPr>
    </w:p>
    <w:p w:rsidR="00DB2B79" w:rsidRDefault="00DB2B79" w:rsidP="00DB2B79">
      <w:pPr>
        <w:pStyle w:val="a3"/>
      </w:pPr>
      <w:r>
        <w:t>15. Постановление Правительства РФ от 28.05.2022 № 977 "О мерах валютного контроля в условиях внешнего санкционного давления".</w:t>
      </w:r>
    </w:p>
    <w:p w:rsidR="00DB2B79" w:rsidRDefault="00DB2B79" w:rsidP="00DB2B79">
      <w:pPr>
        <w:pStyle w:val="a3"/>
      </w:pPr>
      <w:r>
        <w:t>До 31 декабря 2022 года включительно приостановлено проведение налоговыми органами проверок соблюдения валютного законодательства.</w:t>
      </w:r>
    </w:p>
    <w:p w:rsidR="00DB2B79" w:rsidRDefault="00DB2B79" w:rsidP="00DB2B79">
      <w:pPr>
        <w:pStyle w:val="a3"/>
      </w:pPr>
      <w:r>
        <w:t xml:space="preserve">Установленный мораторий на проведение проверок валютного законодательства не распространяется на: </w:t>
      </w:r>
    </w:p>
    <w:p w:rsidR="00DB2B79" w:rsidRDefault="00DB2B79" w:rsidP="00DB2B79">
      <w:pPr>
        <w:pStyle w:val="a3"/>
      </w:pPr>
      <w:r>
        <w:t xml:space="preserve">случаи, когда по проводимым проверкам выявлены нарушения, срок давности привлечения к административной ответственности, за которые истекает до 31 декабря 2022 года - в таких случаях проведение проверок и осуществление административного производства могут продолжаться только в части указанных нарушений; </w:t>
      </w:r>
    </w:p>
    <w:p w:rsidR="00DB2B79" w:rsidRDefault="00DB2B79" w:rsidP="00DB2B79">
      <w:pPr>
        <w:pStyle w:val="a3"/>
      </w:pPr>
      <w:r>
        <w:t xml:space="preserve">нарушения требований, закрепленных нормативными правовыми актами, принятыми начиная с 28 февраля 2022 года и устанавливающими специальные экономические меры в связи с недружественными действиями ряда иностранных государств. </w:t>
      </w:r>
    </w:p>
    <w:p w:rsidR="00DB2B79" w:rsidRDefault="00DB2B79" w:rsidP="00DB2B79">
      <w:pPr>
        <w:pStyle w:val="a3"/>
      </w:pPr>
      <w:r>
        <w:t>Кроме этого, постановлением до 1 декабря 2022 года продлевается срок представления физлицами - резидентами отчетов о движении денежных средств по счетам (вкладам) в иностранных банках и о переводах за границу денежных средств без открытия банковского счета за отчетный 2021 год.</w:t>
      </w:r>
    </w:p>
    <w:p w:rsidR="00DB2B79" w:rsidRDefault="00DB2B79" w:rsidP="00DB2B79">
      <w:pPr>
        <w:pStyle w:val="a3"/>
      </w:pPr>
    </w:p>
    <w:p w:rsidR="00DB2B79" w:rsidRDefault="00DB2B79" w:rsidP="00DB2B79">
      <w:pPr>
        <w:pStyle w:val="a3"/>
      </w:pPr>
      <w:r>
        <w:t>16. Постановление Правительства РФ от 03.06.2022 № 1019 "О внесении изменения в приложение № 8 к постановлению Правительства Российской Федерации от 12 марта 2022 г. № 353".</w:t>
      </w:r>
    </w:p>
    <w:p w:rsidR="00DB2B79" w:rsidRDefault="00DB2B79" w:rsidP="00DB2B79">
      <w:pPr>
        <w:pStyle w:val="a3"/>
      </w:pPr>
      <w:r>
        <w:t>Продлены сроки завершения организациями, осуществляющими водоотведение, природоохранных мероприятий.</w:t>
      </w:r>
    </w:p>
    <w:p w:rsidR="00DB2B79" w:rsidRDefault="00DB2B79" w:rsidP="00DB2B79">
      <w:pPr>
        <w:pStyle w:val="a3"/>
      </w:pPr>
      <w:r>
        <w:t xml:space="preserve">Сроки завершения мероприятий, окончание которых предусмотрено планами мероприятий по охране окружающей среды, планами снижения выбросов и сбросов загрязняющих веществ в период с 24 февраля 2022 г. по 31 декабря 2027 г., продлеваются на 12 месяцев. </w:t>
      </w:r>
    </w:p>
    <w:p w:rsidR="00DB2B79" w:rsidRDefault="00DB2B79" w:rsidP="00DB2B79">
      <w:pPr>
        <w:pStyle w:val="a3"/>
      </w:pPr>
      <w:r>
        <w:t xml:space="preserve">Настоящее Постановление вступает в силу со дня его официального опубликования и распространяется на правоотношения, возникшие с 24 февраля 2022 г. </w:t>
      </w:r>
    </w:p>
    <w:p w:rsidR="00DB2B79" w:rsidRDefault="00DB2B79" w:rsidP="00DB2B79">
      <w:pPr>
        <w:pStyle w:val="a3"/>
      </w:pPr>
    </w:p>
    <w:p w:rsidR="00DB2B79" w:rsidRDefault="00DB2B79" w:rsidP="00DB2B79">
      <w:pPr>
        <w:pStyle w:val="a3"/>
      </w:pPr>
      <w:r>
        <w:lastRenderedPageBreak/>
        <w:t>17. Постановление Правительства РФ от 17.05.2022 № 890 "О внесении изменений в постановление Правительства Российской Федерации от 26 марта 2022 г. № 479".</w:t>
      </w:r>
    </w:p>
    <w:p w:rsidR="00DB2B79" w:rsidRDefault="00DB2B79" w:rsidP="00DB2B79">
      <w:pPr>
        <w:pStyle w:val="a3"/>
      </w:pPr>
      <w:r>
        <w:t>На период с 25 февраля 2022 г. до 31 декабря 2022 г. установлено ограничение размера неустойки за нарушение условий по договорам участия в долевом строительстве.</w:t>
      </w:r>
    </w:p>
    <w:p w:rsidR="00DB2B79" w:rsidRDefault="00DB2B79" w:rsidP="00DB2B79">
      <w:pPr>
        <w:pStyle w:val="a3"/>
      </w:pPr>
      <w:r>
        <w:t xml:space="preserve">Согласно постановлению, в случае, если не применяются особенности, установленные пунктом 1 постановления Правительства РФ от 26.03.2022 № 479, размер процентов, неустойки (штрафов, пени), иных финансовых санкций, в частности, за просрочку внесения платежа участником ДДУ, нарушения срока передачи застройщиком объекта долевого строительства, исчисляется исходя из текущей ключевой ставки Банка России, но не выше ключевой ставки, действовавшей по состоянию на 25 февраля 2022 г. </w:t>
      </w:r>
    </w:p>
    <w:p w:rsidR="00DB2B79" w:rsidRDefault="00DB2B79" w:rsidP="00DB2B79">
      <w:pPr>
        <w:pStyle w:val="a3"/>
      </w:pPr>
      <w:r>
        <w:t>Установленный порядок применяется в том числе к правоотношениям, возникшим из договоров, заключенных до дня вступления в силу настоящего постановления.</w:t>
      </w:r>
    </w:p>
    <w:p w:rsidR="00DB2B79" w:rsidRDefault="00DB2B79" w:rsidP="00DB2B79">
      <w:pPr>
        <w:pStyle w:val="a3"/>
      </w:pPr>
    </w:p>
    <w:p w:rsidR="00DB2B79" w:rsidRDefault="00DB2B79" w:rsidP="00DB2B79">
      <w:pPr>
        <w:pStyle w:val="a3"/>
      </w:pPr>
      <w:r>
        <w:t>18. Федеральный закон от 11.06.2022 № 168-ФЗ "О внесении изменения в статью 19 Федерального закона "О защите конкуренции".</w:t>
      </w:r>
    </w:p>
    <w:p w:rsidR="00DB2B79" w:rsidRDefault="00DB2B79" w:rsidP="00DB2B79">
      <w:pPr>
        <w:pStyle w:val="a3"/>
      </w:pPr>
      <w:r>
        <w:t>В Законе о защите конкуренции закреплены правовые основания предоставления самозанятым лицам преференций.</w:t>
      </w:r>
    </w:p>
    <w:p w:rsidR="00DB2B79" w:rsidRDefault="00DB2B79" w:rsidP="00DB2B79">
      <w:pPr>
        <w:pStyle w:val="a3"/>
      </w:pPr>
      <w:r>
        <w:t>В соответствии с принятым законом государственные или муниципальные преференции, установленные в соответствии с Законом о защите конкуренции, могут быть предоставлены в целях поддержки физлиц, не являющихся ИП, и применяющих специальный налоговый режим "Налог на профессиональный доход".</w:t>
      </w:r>
    </w:p>
    <w:p w:rsidR="00DB2B79" w:rsidRDefault="00DB2B79" w:rsidP="00DB2B79">
      <w:pPr>
        <w:pStyle w:val="a3"/>
      </w:pPr>
    </w:p>
    <w:p w:rsidR="00DB2B79" w:rsidRDefault="00DB2B79" w:rsidP="00DB2B79">
      <w:pPr>
        <w:pStyle w:val="a3"/>
      </w:pPr>
      <w:r>
        <w:t>19. Федеральный закон от 28.05.2022 № 141-ФЗ "О внесении изменений в Кодекс Российской Федерации об административных правонарушениях".</w:t>
      </w:r>
    </w:p>
    <w:p w:rsidR="00DB2B79" w:rsidRDefault="00DB2B79" w:rsidP="00DB2B79">
      <w:pPr>
        <w:pStyle w:val="a3"/>
      </w:pPr>
      <w:r>
        <w:t>В КоАП РФ внесены поправки, усиливающие административную ответственность за нарушения в области пожарной безопасности.</w:t>
      </w:r>
    </w:p>
    <w:p w:rsidR="00DB2B79" w:rsidRDefault="00DB2B79" w:rsidP="00DB2B79">
      <w:pPr>
        <w:pStyle w:val="a3"/>
      </w:pPr>
      <w:r>
        <w:t xml:space="preserve">Так, например, за совершение правонарушения, предусмотренного ч. 1 ст. 8.32 КоАП РФ "Нарушение правил пожарной безопасности в лесах", установлены следующие размеры штрафов: для граждан - от 15 до 30 тыс. руб.; для должностных лиц - от 30 до 50 тыс. руб.; для юрлиц - от 100 до 400 тыс. руб. </w:t>
      </w:r>
    </w:p>
    <w:p w:rsidR="00DB2B79" w:rsidRDefault="00DB2B79" w:rsidP="00DB2B79">
      <w:pPr>
        <w:pStyle w:val="a3"/>
      </w:pPr>
      <w:r>
        <w:t>Кроме этого, увеличены размеры штрафов за совершение правонарушений, предусмотренных ст. 20.4 КоАП РФ "Нарушение требований пожарной безопасности".</w:t>
      </w:r>
    </w:p>
    <w:p w:rsidR="00DB2B79" w:rsidRDefault="00DB2B79" w:rsidP="00DB2B79">
      <w:pPr>
        <w:pStyle w:val="a3"/>
      </w:pPr>
    </w:p>
    <w:p w:rsidR="00DB2B79" w:rsidRDefault="00DB2B79" w:rsidP="00DB2B79">
      <w:pPr>
        <w:pStyle w:val="a3"/>
      </w:pPr>
      <w:r>
        <w:t>20. Федеральный закон от 11.06.2022 № 176-ФЗ "О внесении изменения в статью 1274 части четвертой Гражданского кодекса Российской Федерации".</w:t>
      </w:r>
    </w:p>
    <w:p w:rsidR="00DB2B79" w:rsidRDefault="00DB2B79" w:rsidP="00DB2B79">
      <w:pPr>
        <w:pStyle w:val="a3"/>
      </w:pPr>
      <w:r>
        <w:t>Порядок использования объектов авторских прав лицами с ограниченными способностями приведен в соответствие с международным договором.</w:t>
      </w:r>
    </w:p>
    <w:p w:rsidR="00DB2B79" w:rsidRDefault="00DB2B79" w:rsidP="00DB2B79">
      <w:pPr>
        <w:pStyle w:val="a3"/>
      </w:pPr>
      <w:r>
        <w:lastRenderedPageBreak/>
        <w:t xml:space="preserve">Закон приводит национальное законодательство в соответствие с положениями </w:t>
      </w:r>
      <w:proofErr w:type="spellStart"/>
      <w:r>
        <w:t>Марракешского</w:t>
      </w:r>
      <w:proofErr w:type="spellEnd"/>
      <w:r>
        <w:t xml:space="preserve">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к которому присоединилась РФ. </w:t>
      </w:r>
    </w:p>
    <w:p w:rsidR="00DB2B79" w:rsidRDefault="00DB2B79" w:rsidP="00DB2B79">
      <w:pPr>
        <w:pStyle w:val="a3"/>
      </w:pPr>
    </w:p>
    <w:p w:rsidR="00DB2B79" w:rsidRDefault="00DB2B79" w:rsidP="00DB2B79">
      <w:pPr>
        <w:pStyle w:val="a3"/>
      </w:pPr>
      <w:r>
        <w:t>21. Федеральный закон от 28.05.2022 № 143-ФЗ "О внесении изменений в часть четвертую Гражданского кодекса Российской Федерации".</w:t>
      </w:r>
    </w:p>
    <w:p w:rsidR="00DB2B79" w:rsidRDefault="00DB2B79" w:rsidP="00DB2B79">
      <w:pPr>
        <w:pStyle w:val="a3"/>
      </w:pPr>
      <w:r>
        <w:t xml:space="preserve">В ГК РФ внесены поправки, исключающие возможность регистрации в качестве товарных знаков обозначений, представляющих собой или содержащих элементы, способные ввести в заблуждение потребителя относительно места производства товара. </w:t>
      </w:r>
    </w:p>
    <w:p w:rsidR="00DB2B79" w:rsidRDefault="00DB2B79" w:rsidP="00DB2B79">
      <w:pPr>
        <w:pStyle w:val="a3"/>
      </w:pPr>
      <w:r>
        <w:t>Обновленная редакция указанной нормы предусматривает, что не могут быть зарегистрированы в качестве товарных знаков обозначения, включающие, воспроизводящие или имитирующие географическое указание или наименование места происхождения товара, охраняемых в соответствии с ГК РФ, а также обозначений, заявленных на регистрацию в качестве такого до даты приоритета товарного знака.</w:t>
      </w:r>
    </w:p>
    <w:p w:rsidR="00DB2B79" w:rsidRDefault="00DB2B79" w:rsidP="00DB2B79">
      <w:pPr>
        <w:pStyle w:val="a3"/>
      </w:pPr>
    </w:p>
    <w:p w:rsidR="00DB2B79" w:rsidRDefault="00DB2B79" w:rsidP="00DB2B79">
      <w:pPr>
        <w:pStyle w:val="a3"/>
      </w:pPr>
      <w:r>
        <w:t>22. Постановление Правительства РФ от 31.05.2022 № 993 "О внесении изменений в Правила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w:t>
      </w:r>
    </w:p>
    <w:p w:rsidR="00DB2B79" w:rsidRDefault="00DB2B79" w:rsidP="00DB2B79">
      <w:pPr>
        <w:pStyle w:val="a3"/>
      </w:pPr>
      <w:r>
        <w:t>Граждане смогут оформить льготную ипотеку на самостоятельное строительство частного жилого дома.</w:t>
      </w:r>
    </w:p>
    <w:p w:rsidR="00DB2B79" w:rsidRDefault="00DB2B79" w:rsidP="00DB2B79">
      <w:pPr>
        <w:pStyle w:val="a3"/>
      </w:pPr>
      <w:r>
        <w:t xml:space="preserve">Правительством РФ запущена льготная ипотечная программа на строительство индивидуальных жилых домов своими силами - без оформления договоров подряда с профессиональными застройщиками. </w:t>
      </w:r>
    </w:p>
    <w:p w:rsidR="00DB2B79" w:rsidRDefault="00DB2B79" w:rsidP="00DB2B79">
      <w:pPr>
        <w:pStyle w:val="a3"/>
      </w:pPr>
      <w:r>
        <w:t xml:space="preserve">Процентная ставка по таким кредитам установлена на уровне не более 9% годовых, а максимальный размер займа составляет: </w:t>
      </w:r>
    </w:p>
    <w:p w:rsidR="00DB2B79" w:rsidRDefault="00DB2B79" w:rsidP="00DB2B79">
      <w:pPr>
        <w:pStyle w:val="a3"/>
      </w:pPr>
      <w:r>
        <w:t xml:space="preserve">12 млн рублей - для Москвы, Санкт-Петербурга, Московской и Ленинградской областей; </w:t>
      </w:r>
    </w:p>
    <w:p w:rsidR="00DB2B79" w:rsidRDefault="00DB2B79" w:rsidP="00DB2B79">
      <w:pPr>
        <w:pStyle w:val="a3"/>
      </w:pPr>
      <w:r>
        <w:t>6 млн рублей - для остальных субъектов РФ.</w:t>
      </w:r>
    </w:p>
    <w:p w:rsidR="00DB2B79" w:rsidRDefault="00DB2B79" w:rsidP="00DB2B79">
      <w:pPr>
        <w:pStyle w:val="a3"/>
      </w:pPr>
      <w:r>
        <w:t>Федеральный закон вступает в силу по истечении одного года после дня его официального опубликования.</w:t>
      </w:r>
    </w:p>
    <w:p w:rsidR="00DB2B79" w:rsidRDefault="00DB2B79" w:rsidP="00DB2B79">
      <w:pPr>
        <w:pStyle w:val="a3"/>
      </w:pPr>
    </w:p>
    <w:p w:rsidR="00DB2B79" w:rsidRDefault="00DB2B79" w:rsidP="00DB2B79">
      <w:pPr>
        <w:pStyle w:val="a3"/>
      </w:pPr>
      <w:r>
        <w:t>23. Федеральный закон от 11.06.2022 № 178-ФЗ "О внесении изменения в статью 83 Федерального закона "Устав железнодорожного транспорта Российской Федерации".</w:t>
      </w:r>
    </w:p>
    <w:p w:rsidR="00DB2B79" w:rsidRDefault="00DB2B79" w:rsidP="00DB2B79">
      <w:pPr>
        <w:pStyle w:val="a3"/>
      </w:pPr>
      <w:r>
        <w:t>Бесплатный проезд в пригородном сообщении предоставлен детям в возрасте до 7 лет.</w:t>
      </w:r>
    </w:p>
    <w:p w:rsidR="00DB2B79" w:rsidRDefault="00DB2B79" w:rsidP="00DB2B79">
      <w:pPr>
        <w:pStyle w:val="a3"/>
      </w:pPr>
      <w:r>
        <w:t>Ранее таким правом могли воспользоваться пассажиры с детьми в возрасте не старше 5 лет. Принятым законом предельный возраст ребенка увеличен до 7 лет.</w:t>
      </w:r>
    </w:p>
    <w:p w:rsidR="00DB2B79" w:rsidRDefault="00DB2B79" w:rsidP="00DB2B79">
      <w:pPr>
        <w:pStyle w:val="a3"/>
      </w:pPr>
    </w:p>
    <w:p w:rsidR="00DB2B79" w:rsidRDefault="00DB2B79" w:rsidP="00DB2B79">
      <w:pPr>
        <w:pStyle w:val="a3"/>
      </w:pPr>
      <w:r>
        <w:lastRenderedPageBreak/>
        <w:t>24. Федеральный закон от 28.05.2022 №N 140-ФЗ "О внесении изменений в статью 6.9 Федерального закона "О государственной социальной помощи".</w:t>
      </w:r>
    </w:p>
    <w:p w:rsidR="00DB2B79" w:rsidRDefault="00DB2B79" w:rsidP="00DB2B79">
      <w:pPr>
        <w:pStyle w:val="a3"/>
      </w:pPr>
      <w:r>
        <w:t>Посредством единой государственной информационной системы социального обеспечения (ЕГИССО), будет осуществляться выявление граждан, нуждающихся в получении мер социальной поддержки.</w:t>
      </w:r>
    </w:p>
    <w:p w:rsidR="00DB2B79" w:rsidRDefault="00DB2B79" w:rsidP="00DB2B79">
      <w:pPr>
        <w:pStyle w:val="a3"/>
      </w:pPr>
      <w:r>
        <w:t xml:space="preserve">В настоящее время с использованием ЕГИССО обеспечиваются процессы назначения и предоставления мер социальной защиты. </w:t>
      </w:r>
    </w:p>
    <w:p w:rsidR="00DB2B79" w:rsidRDefault="00DB2B79" w:rsidP="00DB2B79">
      <w:pPr>
        <w:pStyle w:val="a3"/>
      </w:pPr>
      <w:r>
        <w:t xml:space="preserve">С принятием закона в информационной системе будут содержаться дополнительные сведения о движимом и недвижимом имуществе граждан, а также сведения о зарегистрированных транспортных средствах. </w:t>
      </w:r>
    </w:p>
    <w:p w:rsidR="00DB2B79" w:rsidRDefault="00DB2B79" w:rsidP="00DB2B79">
      <w:pPr>
        <w:pStyle w:val="a3"/>
      </w:pPr>
      <w:r>
        <w:t>В целях реализации данного механизма уточняется порядок информационного взаимодействия в целях предоставления доступа госорганов к необходимым сведениям.</w:t>
      </w:r>
    </w:p>
    <w:p w:rsidR="00DB2B79" w:rsidRDefault="00DB2B79" w:rsidP="00DB2B79">
      <w:pPr>
        <w:pStyle w:val="a3"/>
      </w:pPr>
    </w:p>
    <w:p w:rsidR="00DB2B79" w:rsidRDefault="00DB2B79" w:rsidP="00DB2B79">
      <w:pPr>
        <w:pStyle w:val="a3"/>
      </w:pPr>
      <w:r>
        <w:t>25. Постановление Правительства РФ от 28.05.2022 № 973.</w:t>
      </w:r>
    </w:p>
    <w:p w:rsidR="00DB2B79" w:rsidRDefault="00DB2B79" w:rsidP="00DB2B79">
      <w:pPr>
        <w:pStyle w:val="a3"/>
      </w:pPr>
      <w:r>
        <w:t xml:space="preserve">С 1 июня 2022 года подлежат увеличению на 10% МРОТ, величина прожиточного минимума в РФ и некоторые пенсионные выплаты. </w:t>
      </w:r>
    </w:p>
    <w:p w:rsidR="00DB2B79" w:rsidRDefault="00DB2B79" w:rsidP="00DB2B79">
      <w:pPr>
        <w:pStyle w:val="a3"/>
      </w:pPr>
      <w:r>
        <w:t xml:space="preserve">Помимо увеличения МРОТ и прожиточного минимума на 10%, постановлением утвержден также коэффициент индексации (дополнительного увеличения) в размере 1,1: </w:t>
      </w:r>
    </w:p>
    <w:p w:rsidR="00DB2B79" w:rsidRDefault="00DB2B79" w:rsidP="00DB2B79">
      <w:pPr>
        <w:pStyle w:val="a3"/>
      </w:pPr>
      <w:r>
        <w:t xml:space="preserve">размера фиксированной выплаты к страховой пенсии; </w:t>
      </w:r>
    </w:p>
    <w:p w:rsidR="00DB2B79" w:rsidRDefault="00DB2B79" w:rsidP="00DB2B79">
      <w:pPr>
        <w:pStyle w:val="a3"/>
      </w:pPr>
      <w:r>
        <w:t xml:space="preserve">стоимости одного пенсионного коэффициента; </w:t>
      </w:r>
    </w:p>
    <w:p w:rsidR="00DB2B79" w:rsidRDefault="00DB2B79" w:rsidP="00DB2B79">
      <w:pPr>
        <w:pStyle w:val="a3"/>
      </w:pPr>
      <w:r>
        <w:t>пенсионных выплат, предусмотренных абзацами четвертым - шестым пункта 1 статьи 25 Федерального закона "О государственном пенсионном обеспечении в Российской Федерации".</w:t>
      </w:r>
    </w:p>
    <w:p w:rsidR="00DB2B79" w:rsidRDefault="00DB2B79" w:rsidP="00DB2B79">
      <w:pPr>
        <w:pStyle w:val="a3"/>
      </w:pPr>
    </w:p>
    <w:p w:rsidR="00DB2B79" w:rsidRDefault="00DB2B79" w:rsidP="00DB2B79">
      <w:pPr>
        <w:pStyle w:val="a3"/>
      </w:pPr>
      <w:r>
        <w:t>26. Федеральный закон от 28.05.2022 № 151-ФЗ "О внесении изменений в статью 84 части первой Налогового кодекса Российской Федерации".</w:t>
      </w:r>
    </w:p>
    <w:p w:rsidR="00DB2B79" w:rsidRDefault="00DB2B79" w:rsidP="00DB2B79">
      <w:pPr>
        <w:pStyle w:val="a3"/>
      </w:pPr>
      <w:r>
        <w:t>С 1 декабря 2022 года постановка на учет физлица в налоговом органе может осуществляться с использованием Единого портала госуслуг.</w:t>
      </w:r>
    </w:p>
    <w:p w:rsidR="00DB2B79" w:rsidRDefault="00DB2B79" w:rsidP="00DB2B79">
      <w:pPr>
        <w:pStyle w:val="a3"/>
      </w:pPr>
      <w:r>
        <w:t>С этой даты вступает в силу принятый закон, в соответствии с которым налоговый орган обязан осуществить постановку на учет физлица на основании заявления, поданного с использованием Единого портала государственных и муниципальных услуг. При этом свидетельство о постановке на учет может быть получено также с использованием Единого портала.</w:t>
      </w:r>
    </w:p>
    <w:p w:rsidR="00DB2B79" w:rsidRDefault="00DB2B79" w:rsidP="00DB2B79">
      <w:pPr>
        <w:pStyle w:val="a3"/>
      </w:pPr>
    </w:p>
    <w:p w:rsidR="00DB2B79" w:rsidRDefault="00DB2B79" w:rsidP="00DB2B79">
      <w:pPr>
        <w:pStyle w:val="a3"/>
      </w:pPr>
      <w:r>
        <w:t>27. Постановление Правительства РФ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rsidR="00DB2B79" w:rsidRDefault="00DB2B79" w:rsidP="00DB2B79">
      <w:pPr>
        <w:pStyle w:val="a3"/>
      </w:pPr>
      <w:r>
        <w:t xml:space="preserve">С 1 сентября 2022 года устанавливается новый порядок лицензирования деятельности по заготовке, хранению, переработке </w:t>
      </w:r>
      <w:r>
        <w:lastRenderedPageBreak/>
        <w:t>и реализации лома черных и цветных металлов, а также обращения с ломом и отходами черных и цветных металлов и их отчуждения.</w:t>
      </w:r>
    </w:p>
    <w:p w:rsidR="00DB2B79" w:rsidRDefault="00DB2B79" w:rsidP="00DB2B79">
      <w:pPr>
        <w:pStyle w:val="a3"/>
      </w:pPr>
      <w:r>
        <w:t xml:space="preserve">Установлен порядок организации и осуществления федерального государственного лицензионного контроля (надзора) за деятельностью в указанной сфере. </w:t>
      </w:r>
    </w:p>
    <w:p w:rsidR="00DB2B79" w:rsidRDefault="00DB2B79" w:rsidP="00DB2B79">
      <w:pPr>
        <w:pStyle w:val="a3"/>
      </w:pPr>
      <w:r>
        <w:t xml:space="preserve">Признаны утратившими силу акты Правительства РФ, которыми регулируются аналогичные правоотношения. </w:t>
      </w:r>
    </w:p>
    <w:p w:rsidR="00DB2B79" w:rsidRDefault="00DB2B79" w:rsidP="00DB2B79">
      <w:pPr>
        <w:pStyle w:val="a3"/>
      </w:pPr>
      <w:r>
        <w:t>Постановление действует до 1 сентября 2028 года.</w:t>
      </w:r>
    </w:p>
    <w:p w:rsidR="00DB2B79" w:rsidRDefault="00DB2B79" w:rsidP="00DB2B79">
      <w:pPr>
        <w:pStyle w:val="a3"/>
      </w:pPr>
    </w:p>
    <w:p w:rsidR="00DB2B79" w:rsidRDefault="00DB2B79" w:rsidP="00DB2B79">
      <w:pPr>
        <w:pStyle w:val="a3"/>
      </w:pPr>
      <w:r>
        <w:t xml:space="preserve">28. Постановление Правительства РФ от 02.06.2022 № 1007 "О лицензировании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w:t>
      </w:r>
    </w:p>
    <w:p w:rsidR="00DB2B79" w:rsidRDefault="00DB2B79" w:rsidP="00DB2B79">
      <w:pPr>
        <w:pStyle w:val="a3"/>
      </w:pPr>
      <w:r>
        <w:t xml:space="preserve">С 1 сентября 2022 г. устанавливается новый порядок лицензирования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w:t>
      </w:r>
    </w:p>
    <w:p w:rsidR="00DB2B79" w:rsidRDefault="00DB2B79" w:rsidP="00DB2B79">
      <w:pPr>
        <w:pStyle w:val="a3"/>
      </w:pPr>
      <w:r>
        <w:t xml:space="preserve">Предусмотрены, в том числе: виды деятельности, подлежащей лицензированию; перечень лицензирующих органов; лицензионные требования; перечень документов и сведений, необходимых для получения лицензии; порядок оценки соответствия соискателя лицензии или лицензиата лицензионным требованиям; перечень работ и услуг, составляющих лицензируемую деятельность. </w:t>
      </w:r>
    </w:p>
    <w:p w:rsidR="00DB2B79" w:rsidRDefault="00DB2B79" w:rsidP="00DB2B79">
      <w:pPr>
        <w:pStyle w:val="a3"/>
      </w:pPr>
      <w:r>
        <w:t xml:space="preserve">Признаны утратившими силу акты Правительства РФ, которыми регулируются аналогичные правоотношения. </w:t>
      </w:r>
    </w:p>
    <w:p w:rsidR="00DB2B79" w:rsidRDefault="00DB2B79" w:rsidP="00DB2B79">
      <w:pPr>
        <w:pStyle w:val="a3"/>
      </w:pPr>
      <w:r>
        <w:t>Утвержденное Положение действует до 1 сентября 2028 г.</w:t>
      </w:r>
    </w:p>
    <w:p w:rsidR="00DB2B79" w:rsidRDefault="00DB2B79" w:rsidP="00DB2B79">
      <w:pPr>
        <w:pStyle w:val="a3"/>
      </w:pPr>
    </w:p>
    <w:p w:rsidR="00DB2B79" w:rsidRDefault="00DB2B79" w:rsidP="00DB2B79">
      <w:pPr>
        <w:pStyle w:val="a3"/>
      </w:pPr>
      <w:r>
        <w:t>29. Федеральный закон от 28.05.2022 № 144-ФЗ "О внесении изменения в статью 39.10 Земельного кодекса Российской Федерации".</w:t>
      </w:r>
    </w:p>
    <w:p w:rsidR="00DB2B79" w:rsidRDefault="00DB2B79" w:rsidP="00DB2B79">
      <w:pPr>
        <w:pStyle w:val="a3"/>
      </w:pPr>
      <w:r>
        <w:t>Расширены основания предоставления в безвозмездное пользование земельных участков, находящихся в государственной или муниципальной собственности.</w:t>
      </w:r>
    </w:p>
    <w:p w:rsidR="00DB2B79" w:rsidRDefault="00DB2B79" w:rsidP="00DB2B79">
      <w:pPr>
        <w:pStyle w:val="a3"/>
      </w:pPr>
      <w:r>
        <w:t>Установлено, что такие земельные участки могут быть предоставлены в безвозмездное пользование, в том числе,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B2B79" w:rsidRDefault="00DB2B79" w:rsidP="00DB2B79">
      <w:pPr>
        <w:pStyle w:val="a3"/>
      </w:pPr>
    </w:p>
    <w:p w:rsidR="00DB2B79" w:rsidRDefault="00DB2B79" w:rsidP="00DB2B79">
      <w:pPr>
        <w:pStyle w:val="a3"/>
      </w:pPr>
      <w:r>
        <w:t>30. Постановление Правительства РФ от 02.06.2022 № 1013 "О внесении изменений в постановление Правительства Российской Федерации от 26 марта 2019 г. № 319".</w:t>
      </w:r>
    </w:p>
    <w:p w:rsidR="00DB2B79" w:rsidRDefault="00DB2B79" w:rsidP="00DB2B79">
      <w:pPr>
        <w:pStyle w:val="a3"/>
      </w:pPr>
      <w:r>
        <w:t>С 1 сентября 2022 г. расширяется перечень сведений, подлежащих размещению застройщиками в единой информационной системе жилищного строительства.</w:t>
      </w:r>
    </w:p>
    <w:p w:rsidR="00DB2B79" w:rsidRDefault="00DB2B79" w:rsidP="00DB2B79">
      <w:pPr>
        <w:pStyle w:val="a3"/>
      </w:pPr>
      <w:r>
        <w:t xml:space="preserve">Такие сведения определены для застройщиков: </w:t>
      </w:r>
    </w:p>
    <w:p w:rsidR="00DB2B79" w:rsidRDefault="00DB2B79" w:rsidP="00DB2B79">
      <w:pPr>
        <w:pStyle w:val="a3"/>
      </w:pPr>
      <w:r>
        <w:t xml:space="preserve">осуществляющих строительство многоквартирных домов без привлечения денежных средств граждан и юридических лиц; </w:t>
      </w:r>
    </w:p>
    <w:p w:rsidR="00DB2B79" w:rsidRDefault="00DB2B79" w:rsidP="00DB2B79">
      <w:pPr>
        <w:pStyle w:val="a3"/>
      </w:pPr>
      <w:r>
        <w:lastRenderedPageBreak/>
        <w:t xml:space="preserve">привлекающих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w:t>
      </w:r>
    </w:p>
    <w:p w:rsidR="00DB2B79" w:rsidRDefault="00DB2B79" w:rsidP="00DB2B79">
      <w:pPr>
        <w:pStyle w:val="a3"/>
      </w:pPr>
      <w:r>
        <w:t>Предусматриваются сроки размещения указанных сведений.</w:t>
      </w:r>
    </w:p>
    <w:p w:rsidR="00DB2B79" w:rsidRDefault="00DB2B79" w:rsidP="00DB2B79">
      <w:pPr>
        <w:pStyle w:val="a3"/>
      </w:pPr>
    </w:p>
    <w:p w:rsidR="00DB2B79" w:rsidRDefault="00DB2B79" w:rsidP="00DB2B79">
      <w:pPr>
        <w:pStyle w:val="a3"/>
      </w:pPr>
      <w:r>
        <w:t>31. Федеральный закон от 28.05.2022 № 147-ФЗ "О внесении изменения в статью 34 Федерального закона "О воинской обязанности и военной службе".</w:t>
      </w:r>
    </w:p>
    <w:p w:rsidR="00DB2B79" w:rsidRDefault="00DB2B79" w:rsidP="00DB2B79">
      <w:pPr>
        <w:pStyle w:val="a3"/>
      </w:pPr>
      <w:r>
        <w:t>Отменен верхний возрастной предел для заключения первого контракта о прохождении военной службы.</w:t>
      </w:r>
    </w:p>
    <w:p w:rsidR="00DB2B79" w:rsidRDefault="00DB2B79" w:rsidP="00DB2B79">
      <w:pPr>
        <w:pStyle w:val="a3"/>
      </w:pPr>
      <w:r>
        <w:t xml:space="preserve">Ранее такой контракт граждане РФ могли заключать в возрасте от 18 до 40 лет, а иностранные граждане - в возрасте от 18 до 30 лет. </w:t>
      </w:r>
    </w:p>
    <w:p w:rsidR="00DB2B79" w:rsidRDefault="00DB2B79" w:rsidP="00DB2B79">
      <w:pPr>
        <w:pStyle w:val="a3"/>
      </w:pPr>
      <w:r>
        <w:t xml:space="preserve">Согласно внесенным изменениям, теперь для заключения первого контракта о прохождении военной службы достаточно достижения 18 лет. </w:t>
      </w:r>
    </w:p>
    <w:p w:rsidR="00DB2B79" w:rsidRDefault="00DB2B79" w:rsidP="00DB2B79">
      <w:pPr>
        <w:pStyle w:val="a3"/>
      </w:pPr>
      <w:r>
        <w:t>Настоящий Федеральный закон вступает в силу со дня его официального опубликования.</w:t>
      </w:r>
    </w:p>
    <w:p w:rsidR="00DB2B79" w:rsidRDefault="00DB2B79" w:rsidP="00DB2B79">
      <w:pPr>
        <w:pStyle w:val="a3"/>
      </w:pPr>
    </w:p>
    <w:p w:rsidR="00DB2B79" w:rsidRDefault="00DB2B79" w:rsidP="00DB2B79">
      <w:pPr>
        <w:pStyle w:val="a3"/>
      </w:pPr>
      <w:r>
        <w:t>32. Постановление Правительства РФ от 15.06.2022 № 1074 "О внесении изменений в некоторые акты Правительства Российской Федерации в сфере контроля за оборотом прекурсоров наркотических средств и психотропных веществ".</w:t>
      </w:r>
    </w:p>
    <w:p w:rsidR="00DB2B79" w:rsidRDefault="00DB2B79" w:rsidP="00DB2B79">
      <w:pPr>
        <w:pStyle w:val="a3"/>
      </w:pPr>
      <w:r>
        <w:t>Расширен перечень прекурсоров, оборот которых в Российской Федерации запрещен либо ограничен.</w:t>
      </w:r>
    </w:p>
    <w:p w:rsidR="00DB2B79" w:rsidRDefault="00DB2B79" w:rsidP="00DB2B79">
      <w:pPr>
        <w:pStyle w:val="a3"/>
      </w:pPr>
      <w:r>
        <w:t xml:space="preserve">Поправки направлены на установление мер контроля в отношении "дизайнерских прекурсоров". </w:t>
      </w:r>
    </w:p>
    <w:p w:rsidR="00DB2B79" w:rsidRDefault="00DB2B79" w:rsidP="00DB2B79">
      <w:pPr>
        <w:pStyle w:val="a3"/>
      </w:pPr>
      <w:r>
        <w:t xml:space="preserve">Кроме того, предусмотрены крупный и особо крупный размеры прекурсоров для целей статей 228.3, 228.4 и 229.1 УК РФ. </w:t>
      </w:r>
    </w:p>
    <w:p w:rsidR="00DB2B79" w:rsidRDefault="00DB2B79" w:rsidP="00DB2B79">
      <w:pPr>
        <w:pStyle w:val="a3"/>
      </w:pPr>
      <w:r>
        <w:t>Постановление вступает в силу по истечении 120 дней после дня его официального опубликования.</w:t>
      </w:r>
    </w:p>
    <w:p w:rsidR="00DB2B79" w:rsidRDefault="00DB2B79" w:rsidP="00DB2B79">
      <w:pPr>
        <w:pStyle w:val="a3"/>
      </w:pPr>
    </w:p>
    <w:p w:rsidR="00DB2B79" w:rsidRDefault="00DB2B79" w:rsidP="00DB2B79">
      <w:pPr>
        <w:pStyle w:val="a3"/>
      </w:pPr>
      <w:r>
        <w:t>33. Федеральный закон от 11.06.2022 № 179-ФЗ "О внесении изменений в статьи 14 и 157 Гражданского процессуального кодекса Российской Федерации".</w:t>
      </w:r>
    </w:p>
    <w:p w:rsidR="00DB2B79" w:rsidRDefault="00DB2B79" w:rsidP="00DB2B79">
      <w:pPr>
        <w:pStyle w:val="a3"/>
      </w:pPr>
      <w:r>
        <w:t>Изменениями, внесенными в ГПК РФ закреплено, что гражданское дело, рассмотрение которого начато одним судьей или составом суда, должно быть рассмотрено этим же судьей или этим же составом суда.</w:t>
      </w:r>
    </w:p>
    <w:p w:rsidR="00DB2B79" w:rsidRDefault="00DB2B79" w:rsidP="00DB2B79">
      <w:pPr>
        <w:pStyle w:val="a3"/>
      </w:pPr>
      <w:r>
        <w:t>Также установлены случаи замены судьи или нескольких судей, в числе которых длительное отсутствие ввиду болезни, отпуска, учебы или служебной командировки, прекращение или приостановление полномочий судьи по основаниям, предусмотренным федеральным законом, и прочее.</w:t>
      </w:r>
    </w:p>
    <w:p w:rsidR="00DB2B79" w:rsidRDefault="00DB2B79" w:rsidP="00DB2B79">
      <w:pPr>
        <w:pStyle w:val="a3"/>
      </w:pPr>
    </w:p>
    <w:p w:rsidR="00DB2B79" w:rsidRDefault="00DB2B79" w:rsidP="00DB2B79">
      <w:pPr>
        <w:pStyle w:val="a3"/>
      </w:pPr>
      <w:r>
        <w:t>34. Постановление Правительства РФ от 16.05.2022 № 887 "О внесении изменений в постановление Правительства Российской Федерации от 31 июля 2008 г. № 579".</w:t>
      </w:r>
    </w:p>
    <w:p w:rsidR="00DB2B79" w:rsidRDefault="00DB2B79" w:rsidP="00DB2B79">
      <w:pPr>
        <w:pStyle w:val="a3"/>
      </w:pPr>
      <w:r>
        <w:t>С 20 июня 2022 года подлежат применению новые формы бланков исполнительных листов, используемых в работе судов.</w:t>
      </w:r>
    </w:p>
    <w:p w:rsidR="00DB2B79" w:rsidRDefault="00DB2B79" w:rsidP="00DB2B79">
      <w:pPr>
        <w:pStyle w:val="a3"/>
      </w:pPr>
      <w:r>
        <w:lastRenderedPageBreak/>
        <w:t xml:space="preserve">Речь идет о формах бланков исполнительных листов, используемых в работе Верховного Суда РФ, федеральных арбитражных судов, федеральных судов общей юрисдикции и мировых судей субъектов РФ. </w:t>
      </w:r>
    </w:p>
    <w:p w:rsidR="00DB2B79" w:rsidRDefault="00DB2B79" w:rsidP="00DB2B79">
      <w:pPr>
        <w:pStyle w:val="a3"/>
      </w:pPr>
      <w:r>
        <w:t xml:space="preserve">Необходимость обновления форм бланков связана с принятием Федерального закона от 21.12.2021 № 417-ФЗ "О внесении изменений в отдельные законодательные акты Российской Федерации", которым устанавливается обязательное указание в исполнительном документе одного из идентификаторов должника. </w:t>
      </w:r>
    </w:p>
    <w:p w:rsidR="004152CF" w:rsidRPr="006A6242" w:rsidRDefault="00DB2B79" w:rsidP="00DB2B79">
      <w:pPr>
        <w:pStyle w:val="a3"/>
        <w:rPr>
          <w:i/>
        </w:rPr>
      </w:pPr>
      <w:r>
        <w:t>Предусмотрено, что исполнительные листы на бланках старого образца действительны наравне с исполнительными листами, оформленными на бланках нового образца, и обмену не подлежат</w:t>
      </w:r>
      <w:r w:rsidR="006A6242">
        <w:rPr>
          <w:i/>
        </w:rPr>
        <w:t>.</w:t>
      </w:r>
    </w:p>
    <w:p w:rsidR="00380DF4" w:rsidRDefault="00380DF4" w:rsidP="006A6242">
      <w:pPr>
        <w:pStyle w:val="a3"/>
        <w:spacing w:line="240" w:lineRule="exact"/>
        <w:ind w:firstLine="0"/>
      </w:pPr>
    </w:p>
    <w:p w:rsidR="00380DF4" w:rsidRDefault="00380DF4" w:rsidP="006A6242">
      <w:pPr>
        <w:pStyle w:val="a3"/>
        <w:spacing w:line="240" w:lineRule="exact"/>
        <w:ind w:firstLine="0"/>
      </w:pPr>
    </w:p>
    <w:p w:rsidR="006A6242" w:rsidRDefault="00DB2B79" w:rsidP="006A6242">
      <w:pPr>
        <w:pStyle w:val="a3"/>
        <w:tabs>
          <w:tab w:val="right" w:pos="9638"/>
        </w:tabs>
        <w:spacing w:line="240" w:lineRule="exact"/>
        <w:ind w:firstLine="0"/>
      </w:pPr>
      <w:r>
        <w:t>Помощник п</w:t>
      </w:r>
      <w:r w:rsidR="006A6242">
        <w:t>рокурор</w:t>
      </w:r>
      <w:r>
        <w:t>а</w:t>
      </w:r>
      <w:r w:rsidR="006A6242">
        <w:t xml:space="preserve">                                                                              </w:t>
      </w:r>
      <w:r>
        <w:t>Ф.С. Халимов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484BA9" w:rsidTr="00484BA9">
        <w:trPr>
          <w:trHeight w:val="1755"/>
        </w:trPr>
        <w:tc>
          <w:tcPr>
            <w:tcW w:w="9628" w:type="dxa"/>
          </w:tcPr>
          <w:p w:rsidR="00484BA9" w:rsidRPr="00484BA9" w:rsidRDefault="00484BA9" w:rsidP="00484BA9">
            <w:pPr>
              <w:spacing w:before="240" w:line="360" w:lineRule="exact"/>
              <w:ind w:left="1985"/>
              <w:rPr>
                <w:color w:val="BFBFBF" w:themeColor="background1" w:themeShade="BF"/>
                <w:sz w:val="24"/>
                <w:szCs w:val="24"/>
              </w:rPr>
            </w:pPr>
            <w:bookmarkStart w:id="1" w:name="SIGNERSTAMP1"/>
            <w:proofErr w:type="spellStart"/>
            <w:r>
              <w:rPr>
                <w:color w:val="BFBFBF" w:themeColor="background1" w:themeShade="BF"/>
                <w:sz w:val="24"/>
                <w:szCs w:val="24"/>
              </w:rPr>
              <w:t>эл</w:t>
            </w:r>
            <w:proofErr w:type="gramStart"/>
            <w:r>
              <w:rPr>
                <w:color w:val="BFBFBF" w:themeColor="background1" w:themeShade="BF"/>
                <w:sz w:val="24"/>
                <w:szCs w:val="24"/>
              </w:rPr>
              <w:t>.п</w:t>
            </w:r>
            <w:proofErr w:type="gramEnd"/>
            <w:r>
              <w:rPr>
                <w:color w:val="BFBFBF" w:themeColor="background1" w:themeShade="BF"/>
                <w:sz w:val="24"/>
                <w:szCs w:val="24"/>
              </w:rPr>
              <w:t>одпись</w:t>
            </w:r>
            <w:bookmarkEnd w:id="1"/>
            <w:proofErr w:type="spellEnd"/>
          </w:p>
        </w:tc>
      </w:tr>
    </w:tbl>
    <w:p w:rsidR="00380DF4" w:rsidRDefault="00380DF4" w:rsidP="004C25DC">
      <w:pPr>
        <w:pStyle w:val="a3"/>
        <w:ind w:firstLine="0"/>
      </w:pPr>
    </w:p>
    <w:p w:rsidR="00380DF4" w:rsidRDefault="00380DF4" w:rsidP="004C25DC">
      <w:pPr>
        <w:pStyle w:val="a3"/>
        <w:ind w:firstLine="0"/>
      </w:pPr>
    </w:p>
    <w:p w:rsidR="009436E8" w:rsidRDefault="009436E8" w:rsidP="004C25DC">
      <w:pPr>
        <w:pStyle w:val="a3"/>
        <w:ind w:firstLine="0"/>
      </w:pPr>
    </w:p>
    <w:p w:rsidR="009436E8" w:rsidRDefault="009436E8" w:rsidP="004C25DC">
      <w:pPr>
        <w:pStyle w:val="a3"/>
        <w:ind w:firstLine="0"/>
      </w:pPr>
    </w:p>
    <w:p w:rsidR="005F6F8F" w:rsidRDefault="005F6F8F" w:rsidP="004C25DC">
      <w:pPr>
        <w:pStyle w:val="a3"/>
        <w:ind w:firstLine="0"/>
      </w:pPr>
    </w:p>
    <w:p w:rsidR="007106D4" w:rsidRDefault="007106D4" w:rsidP="004C25DC">
      <w:pPr>
        <w:pStyle w:val="a3"/>
        <w:ind w:firstLine="0"/>
      </w:pPr>
    </w:p>
    <w:p w:rsidR="006A6242" w:rsidRDefault="006A6242" w:rsidP="004C25DC">
      <w:pPr>
        <w:pStyle w:val="a3"/>
        <w:ind w:firstLine="0"/>
      </w:pPr>
      <w:bookmarkStart w:id="2" w:name="_GoBack"/>
      <w:bookmarkEnd w:id="2"/>
    </w:p>
    <w:sectPr w:rsidR="006A6242" w:rsidSect="006A6242">
      <w:headerReference w:type="default" r:id="rId9"/>
      <w:footerReference w:type="first" r:id="rId10"/>
      <w:pgSz w:w="11906" w:h="16838" w:code="9"/>
      <w:pgMar w:top="567"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C2F" w:rsidRDefault="007E1C2F" w:rsidP="00337B0C">
      <w:r>
        <w:separator/>
      </w:r>
    </w:p>
  </w:endnote>
  <w:endnote w:type="continuationSeparator" w:id="0">
    <w:p w:rsidR="007E1C2F" w:rsidRDefault="007E1C2F" w:rsidP="00337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643"/>
    </w:tblGrid>
    <w:tr w:rsidR="00484BA9" w:rsidRPr="00484BA9" w:rsidTr="00F441E6">
      <w:trPr>
        <w:cantSplit/>
        <w:trHeight w:val="57"/>
      </w:trPr>
      <w:tc>
        <w:tcPr>
          <w:tcW w:w="3643" w:type="dxa"/>
        </w:tcPr>
        <w:p w:rsidR="00484BA9" w:rsidRPr="00484BA9" w:rsidRDefault="00484BA9" w:rsidP="00484BA9">
          <w:pPr>
            <w:spacing w:after="60" w:line="240" w:lineRule="auto"/>
            <w:jc w:val="center"/>
            <w:rPr>
              <w:rFonts w:ascii="Times New Roman" w:eastAsia="Calibri" w:hAnsi="Times New Roman" w:cs="Times New Roman"/>
              <w:sz w:val="16"/>
              <w:szCs w:val="16"/>
            </w:rPr>
          </w:pPr>
          <w:bookmarkStart w:id="3" w:name="SIGNERORG1"/>
          <w:r w:rsidRPr="00484BA9">
            <w:rPr>
              <w:rFonts w:ascii="Times New Roman" w:eastAsia="Calibri" w:hAnsi="Times New Roman" w:cs="Times New Roman"/>
              <w:sz w:val="16"/>
              <w:szCs w:val="16"/>
            </w:rPr>
            <w:t>организация</w:t>
          </w:r>
          <w:bookmarkEnd w:id="3"/>
        </w:p>
        <w:p w:rsidR="00484BA9" w:rsidRPr="00484BA9" w:rsidRDefault="00484BA9" w:rsidP="00484BA9">
          <w:pPr>
            <w:spacing w:after="60" w:line="240" w:lineRule="auto"/>
            <w:jc w:val="center"/>
            <w:rPr>
              <w:rFonts w:ascii="Times New Roman" w:eastAsia="Calibri" w:hAnsi="Times New Roman" w:cs="Times New Roman"/>
              <w:sz w:val="16"/>
              <w:szCs w:val="16"/>
            </w:rPr>
          </w:pPr>
          <w:r w:rsidRPr="00484BA9">
            <w:rPr>
              <w:rFonts w:ascii="Times New Roman" w:eastAsia="Calibri" w:hAnsi="Times New Roman" w:cs="Times New Roman"/>
              <w:sz w:val="16"/>
              <w:szCs w:val="16"/>
            </w:rPr>
            <w:t xml:space="preserve">№ </w:t>
          </w:r>
          <w:bookmarkStart w:id="4" w:name="REGNUMSTAMP"/>
          <w:r w:rsidRPr="00484BA9">
            <w:rPr>
              <w:rFonts w:ascii="Times New Roman" w:eastAsia="Calibri" w:hAnsi="Times New Roman" w:cs="Times New Roman"/>
              <w:color w:val="BFBFBF"/>
              <w:sz w:val="16"/>
              <w:szCs w:val="16"/>
            </w:rPr>
            <w:t>рег.номер</w:t>
          </w:r>
          <w:bookmarkEnd w:id="4"/>
        </w:p>
      </w:tc>
    </w:tr>
  </w:tbl>
  <w:p w:rsidR="00484BA9" w:rsidRDefault="00484BA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C2F" w:rsidRDefault="007E1C2F" w:rsidP="00337B0C">
      <w:r>
        <w:separator/>
      </w:r>
    </w:p>
  </w:footnote>
  <w:footnote w:type="continuationSeparator" w:id="0">
    <w:p w:rsidR="007E1C2F" w:rsidRDefault="007E1C2F" w:rsidP="00337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83076"/>
      <w:docPartObj>
        <w:docPartGallery w:val="Page Numbers (Top of Page)"/>
        <w:docPartUnique/>
      </w:docPartObj>
    </w:sdtPr>
    <w:sdtContent>
      <w:p w:rsidR="00337B0C" w:rsidRDefault="0036208D">
        <w:pPr>
          <w:pStyle w:val="ab"/>
          <w:jc w:val="center"/>
        </w:pPr>
        <w:r>
          <w:fldChar w:fldCharType="begin"/>
        </w:r>
        <w:r w:rsidR="00337B0C">
          <w:instrText>PAGE   \* MERGEFORMAT</w:instrText>
        </w:r>
        <w:r>
          <w:fldChar w:fldCharType="separate"/>
        </w:r>
        <w:r w:rsidR="00FF33E4">
          <w:rPr>
            <w:noProof/>
          </w:rPr>
          <w:t>2</w:t>
        </w:r>
        <w:r>
          <w:fldChar w:fldCharType="end"/>
        </w:r>
      </w:p>
    </w:sdtContent>
  </w:sdt>
  <w:p w:rsidR="00337B0C" w:rsidRDefault="00337B0C">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E86C67"/>
    <w:rsid w:val="00030072"/>
    <w:rsid w:val="00112D44"/>
    <w:rsid w:val="001D25FA"/>
    <w:rsid w:val="001E6BCD"/>
    <w:rsid w:val="00221CAB"/>
    <w:rsid w:val="002C47B9"/>
    <w:rsid w:val="00337B0C"/>
    <w:rsid w:val="0036208D"/>
    <w:rsid w:val="003642DB"/>
    <w:rsid w:val="00380DF4"/>
    <w:rsid w:val="003A34AE"/>
    <w:rsid w:val="004152CF"/>
    <w:rsid w:val="004705C7"/>
    <w:rsid w:val="00484BA9"/>
    <w:rsid w:val="00492A4F"/>
    <w:rsid w:val="004C25DC"/>
    <w:rsid w:val="00524955"/>
    <w:rsid w:val="0053141D"/>
    <w:rsid w:val="00595EA4"/>
    <w:rsid w:val="005D00ED"/>
    <w:rsid w:val="005F6F8F"/>
    <w:rsid w:val="006A6242"/>
    <w:rsid w:val="006D4F40"/>
    <w:rsid w:val="007106D4"/>
    <w:rsid w:val="007B647A"/>
    <w:rsid w:val="007E1C2F"/>
    <w:rsid w:val="00811B20"/>
    <w:rsid w:val="009436E8"/>
    <w:rsid w:val="00993C7C"/>
    <w:rsid w:val="009A6264"/>
    <w:rsid w:val="00A15B68"/>
    <w:rsid w:val="00A245E6"/>
    <w:rsid w:val="00A9574F"/>
    <w:rsid w:val="00AD2281"/>
    <w:rsid w:val="00AD36C1"/>
    <w:rsid w:val="00AE188B"/>
    <w:rsid w:val="00AE4D39"/>
    <w:rsid w:val="00AF1FD8"/>
    <w:rsid w:val="00B406B6"/>
    <w:rsid w:val="00B4391F"/>
    <w:rsid w:val="00B80FEC"/>
    <w:rsid w:val="00B92725"/>
    <w:rsid w:val="00C0749C"/>
    <w:rsid w:val="00C243E8"/>
    <w:rsid w:val="00C71DDB"/>
    <w:rsid w:val="00C9469C"/>
    <w:rsid w:val="00D15CC4"/>
    <w:rsid w:val="00D25843"/>
    <w:rsid w:val="00DB2B79"/>
    <w:rsid w:val="00DC3243"/>
    <w:rsid w:val="00E86C67"/>
    <w:rsid w:val="00EA43D3"/>
    <w:rsid w:val="00F60133"/>
    <w:rsid w:val="00F842CA"/>
    <w:rsid w:val="00FE5989"/>
    <w:rsid w:val="00FF33E4"/>
    <w:rsid w:val="00FF6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7B647A"/>
    <w:pPr>
      <w:spacing w:after="160" w:line="259"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spacing w:after="0" w:line="240" w:lineRule="auto"/>
      <w:ind w:firstLine="709"/>
      <w:jc w:val="both"/>
    </w:pPr>
    <w:rPr>
      <w:rFonts w:ascii="Times New Roman" w:hAnsi="Times New Roman"/>
      <w:sz w:val="28"/>
    </w:r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spacing w:after="0" w:line="240" w:lineRule="exact"/>
      <w:ind w:left="4820"/>
      <w:jc w:val="both"/>
    </w:pPr>
    <w:rPr>
      <w:rFonts w:ascii="Times New Roman" w:hAnsi="Times New Roman"/>
      <w:sz w:val="28"/>
    </w:r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spacing w:after="0" w:line="240" w:lineRule="exact"/>
      <w:jc w:val="center"/>
    </w:pPr>
    <w:rPr>
      <w:rFonts w:ascii="Times New Roman" w:hAnsi="Times New Roman"/>
      <w:sz w:val="28"/>
    </w:r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spacing w:after="0" w:line="240" w:lineRule="exact"/>
      <w:jc w:val="both"/>
    </w:pPr>
    <w:rPr>
      <w:rFonts w:ascii="Times New Roman" w:hAnsi="Times New Roman"/>
      <w:sz w:val="28"/>
    </w:r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spacing w:after="0" w:line="240" w:lineRule="auto"/>
      <w:jc w:val="both"/>
    </w:pPr>
    <w:rPr>
      <w:rFonts w:ascii="Times New Roman" w:hAnsi="Times New Roman"/>
      <w:sz w:val="28"/>
    </w:r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spacing w:after="0" w:line="240" w:lineRule="auto"/>
      <w:jc w:val="both"/>
    </w:pPr>
    <w:rPr>
      <w:rFonts w:ascii="Times New Roman" w:hAnsi="Times New Roman"/>
      <w:sz w:val="28"/>
    </w:r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D15CC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940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07FA-A474-445B-8324-E3036BE0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4149</Words>
  <Characters>23651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 Ильнур Ильдарович</dc:creator>
  <cp:lastModifiedBy>1</cp:lastModifiedBy>
  <cp:revision>2</cp:revision>
  <cp:lastPrinted>2021-06-11T07:19:00Z</cp:lastPrinted>
  <dcterms:created xsi:type="dcterms:W3CDTF">2022-06-28T09:20:00Z</dcterms:created>
  <dcterms:modified xsi:type="dcterms:W3CDTF">2022-06-28T09:20:00Z</dcterms:modified>
</cp:coreProperties>
</file>