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51418B">
        <w:rPr>
          <w:rFonts w:ascii="Arial" w:hAnsi="Arial" w:cs="Arial"/>
          <w:b/>
          <w:sz w:val="22"/>
          <w:szCs w:val="22"/>
        </w:rPr>
        <w:t>СПАРТАКСКИЙ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proofErr w:type="spellStart"/>
      <w:r w:rsidR="0051418B">
        <w:rPr>
          <w:rFonts w:ascii="Arial" w:hAnsi="Arial" w:cs="Arial"/>
          <w:bCs/>
          <w:color w:val="000000"/>
          <w:sz w:val="22"/>
          <w:szCs w:val="22"/>
          <w:shd w:val="clear" w:color="auto" w:fill="FFFFFF"/>
        </w:rPr>
        <w:t>Спартакский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 xml:space="preserve">Приусадебный участок личного подсобного хозяйства для размещения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D068D5">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51418B" w:rsidRPr="009C0345" w:rsidRDefault="0051418B" w:rsidP="0051418B">
      <w:pPr>
        <w:pStyle w:val="a3"/>
        <w:spacing w:before="0" w:after="0"/>
        <w:ind w:firstLine="566"/>
        <w:contextualSpacing/>
        <w:jc w:val="both"/>
        <w:rPr>
          <w:rFonts w:ascii="Arial" w:hAnsi="Arial" w:cs="Arial"/>
          <w:sz w:val="22"/>
          <w:szCs w:val="22"/>
        </w:rPr>
      </w:pPr>
      <w:r w:rsidRPr="009C0345">
        <w:rPr>
          <w:rFonts w:ascii="Arial" w:hAnsi="Arial" w:cs="Arial"/>
          <w:b/>
          <w:sz w:val="22"/>
          <w:szCs w:val="22"/>
        </w:rPr>
        <w:t>зона «ЖС»</w:t>
      </w:r>
      <w:r w:rsidRPr="009C0345">
        <w:rPr>
          <w:rFonts w:ascii="Arial" w:hAnsi="Arial" w:cs="Arial"/>
          <w:sz w:val="22"/>
          <w:szCs w:val="22"/>
        </w:rPr>
        <w:t xml:space="preserve"> - </w:t>
      </w:r>
      <w:proofErr w:type="spellStart"/>
      <w:r>
        <w:rPr>
          <w:rFonts w:ascii="Arial" w:hAnsi="Arial" w:cs="Arial"/>
          <w:sz w:val="22"/>
          <w:szCs w:val="22"/>
        </w:rPr>
        <w:t>Среднеэтажная</w:t>
      </w:r>
      <w:proofErr w:type="spellEnd"/>
      <w:r w:rsidRPr="009C0345">
        <w:rPr>
          <w:rFonts w:ascii="Arial" w:hAnsi="Arial" w:cs="Arial"/>
          <w:sz w:val="22"/>
          <w:szCs w:val="22"/>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51418B" w:rsidRPr="00B96DFA" w:rsidRDefault="0051418B" w:rsidP="0051418B">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w:t>
      </w:r>
      <w:r w:rsidRPr="00A365BE">
        <w:rPr>
          <w:rFonts w:ascii="Arial" w:hAnsi="Arial" w:cs="Arial"/>
        </w:rPr>
        <w:lastRenderedPageBreak/>
        <w:t>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w:t>
      </w:r>
      <w:proofErr w:type="gramEnd"/>
      <w:r w:rsidRPr="00A365BE">
        <w:rPr>
          <w:rFonts w:ascii="Arial" w:hAnsi="Arial" w:cs="Arial"/>
          <w:sz w:val="22"/>
          <w:szCs w:val="22"/>
        </w:rPr>
        <w:t xml:space="preserve"> деятельность по воспитанию, образованию и просвещению)</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размещения объектов капитального строительства, предназначенных для </w:t>
      </w:r>
      <w:r w:rsidRPr="00A365BE">
        <w:rPr>
          <w:rFonts w:ascii="Arial" w:hAnsi="Arial" w:cs="Arial"/>
          <w:sz w:val="22"/>
          <w:szCs w:val="22"/>
        </w:rPr>
        <w:lastRenderedPageBreak/>
        <w:t>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Pr="00A365BE"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w:t>
      </w:r>
      <w:r w:rsidRPr="00A365BE">
        <w:rPr>
          <w:rFonts w:ascii="Arial" w:hAnsi="Arial" w:cs="Arial"/>
        </w:rPr>
        <w:lastRenderedPageBreak/>
        <w:t xml:space="preserve">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spacing w:after="0" w:line="240" w:lineRule="auto"/>
        <w:ind w:firstLine="566"/>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w:t>
      </w:r>
      <w:r w:rsidRPr="00A365BE">
        <w:rPr>
          <w:rFonts w:ascii="Arial" w:hAnsi="Arial" w:cs="Arial"/>
        </w:rPr>
        <w:lastRenderedPageBreak/>
        <w:t>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lastRenderedPageBreak/>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proofErr w:type="spellStart"/>
      <w:r w:rsidR="0051418B">
        <w:rPr>
          <w:rFonts w:ascii="Arial" w:hAnsi="Arial" w:cs="Arial"/>
          <w:sz w:val="22"/>
          <w:szCs w:val="22"/>
        </w:rPr>
        <w:t>Спартакский</w:t>
      </w:r>
      <w:proofErr w:type="spellEnd"/>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proofErr w:type="spellStart"/>
      <w:r w:rsidR="0051418B">
        <w:rPr>
          <w:rFonts w:ascii="Arial" w:hAnsi="Arial" w:cs="Arial"/>
          <w:sz w:val="22"/>
          <w:szCs w:val="22"/>
        </w:rPr>
        <w:t>Спартакский</w:t>
      </w:r>
      <w:proofErr w:type="spellEnd"/>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w:t>
      </w:r>
      <w:r w:rsidRPr="00A365BE">
        <w:rPr>
          <w:rFonts w:ascii="Arial" w:hAnsi="Arial" w:cs="Arial"/>
        </w:rPr>
        <w:lastRenderedPageBreak/>
        <w:t xml:space="preserve">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proofErr w:type="spellStart"/>
      <w:r w:rsidR="0051418B">
        <w:rPr>
          <w:rFonts w:ascii="Arial" w:hAnsi="Arial" w:cs="Arial"/>
          <w:b/>
          <w:sz w:val="22"/>
          <w:szCs w:val="22"/>
        </w:rPr>
        <w:t>Спартакский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proofErr w:type="spellStart"/>
      <w:r w:rsidR="0051418B">
        <w:rPr>
          <w:rFonts w:ascii="Arial" w:hAnsi="Arial" w:cs="Arial"/>
          <w:b/>
          <w:sz w:val="22"/>
          <w:szCs w:val="22"/>
        </w:rPr>
        <w:t>Спартакский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proofErr w:type="spellStart"/>
      <w:r w:rsidR="0051418B">
        <w:rPr>
          <w:rFonts w:ascii="Arial" w:hAnsi="Arial" w:cs="Arial"/>
          <w:bCs/>
          <w:color w:val="000000"/>
          <w:shd w:val="clear" w:color="auto" w:fill="FFFFFF"/>
        </w:rPr>
        <w:t>Спартакский</w:t>
      </w:r>
      <w:proofErr w:type="spellEnd"/>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w:t>
      </w:r>
      <w:r w:rsidRPr="00A365BE">
        <w:rPr>
          <w:rFonts w:ascii="Arial" w:hAnsi="Arial" w:cs="Arial"/>
        </w:rPr>
        <w:lastRenderedPageBreak/>
        <w:t xml:space="preserve">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proofErr w:type="spellStart"/>
      <w:r w:rsidR="0051418B">
        <w:rPr>
          <w:rFonts w:ascii="Arial" w:hAnsi="Arial" w:cs="Arial"/>
          <w:b/>
          <w:sz w:val="22"/>
          <w:szCs w:val="22"/>
        </w:rPr>
        <w:t>Спартакский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w:t>
      </w:r>
      <w:r w:rsidR="005510EA">
        <w:rPr>
          <w:rFonts w:ascii="Arial" w:hAnsi="Arial" w:cs="Arial"/>
          <w:b/>
          <w:sz w:val="22"/>
          <w:szCs w:val="22"/>
        </w:rPr>
        <w:t>1</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proofErr w:type="spellStart"/>
      <w:r w:rsidR="0051418B">
        <w:rPr>
          <w:rFonts w:ascii="Arial" w:hAnsi="Arial" w:cs="Arial"/>
          <w:b/>
          <w:sz w:val="22"/>
          <w:szCs w:val="22"/>
        </w:rPr>
        <w:t>Спартакский</w:t>
      </w:r>
      <w:proofErr w:type="spellEnd"/>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5510EA">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proofErr w:type="spellStart"/>
      <w:r w:rsidR="0051418B">
        <w:rPr>
          <w:rFonts w:ascii="Arial" w:hAnsi="Arial" w:cs="Arial"/>
          <w:bCs/>
          <w:color w:val="000000"/>
          <w:sz w:val="22"/>
          <w:szCs w:val="22"/>
          <w:shd w:val="clear" w:color="auto" w:fill="FFFFFF"/>
        </w:rPr>
        <w:t>Спартакский</w:t>
      </w:r>
      <w:proofErr w:type="spellEnd"/>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5510EA">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proofErr w:type="spellStart"/>
      <w:r w:rsidR="0051418B">
        <w:rPr>
          <w:rFonts w:ascii="Arial" w:hAnsi="Arial" w:cs="Arial"/>
          <w:b/>
        </w:rPr>
        <w:t>Спартакский</w:t>
      </w:r>
      <w:proofErr w:type="spellEnd"/>
      <w:r w:rsidR="008A4BC1">
        <w:rPr>
          <w:rFonts w:ascii="Arial" w:hAnsi="Arial" w:cs="Arial"/>
          <w:b/>
        </w:rPr>
        <w:t xml:space="preserve"> сельсовет</w:t>
      </w:r>
      <w:r w:rsidRPr="00A365BE">
        <w:rPr>
          <w:rFonts w:ascii="Arial" w:hAnsi="Arial" w:cs="Arial"/>
          <w:b/>
        </w:rPr>
        <w:t xml:space="preserve"> муниципального района </w:t>
      </w:r>
      <w:r w:rsidR="005510EA">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proofErr w:type="spellStart"/>
      <w:r w:rsidR="0051418B">
        <w:rPr>
          <w:rFonts w:ascii="Arial" w:hAnsi="Arial" w:cs="Arial"/>
          <w:bCs/>
          <w:color w:val="000000"/>
          <w:sz w:val="22"/>
          <w:szCs w:val="22"/>
          <w:shd w:val="clear" w:color="auto" w:fill="FFFFFF"/>
        </w:rPr>
        <w:t>Спартакский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w:t>
      </w:r>
      <w:r w:rsidRPr="00A365BE">
        <w:rPr>
          <w:rFonts w:ascii="Arial" w:hAnsi="Arial" w:cs="Arial"/>
          <w:sz w:val="22"/>
          <w:szCs w:val="22"/>
        </w:rPr>
        <w:lastRenderedPageBreak/>
        <w:t>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t xml:space="preserve">- карты границ зон с особыми условиями использования территорий сельского поселения </w:t>
      </w:r>
      <w:proofErr w:type="spellStart"/>
      <w:r w:rsidR="0051418B">
        <w:rPr>
          <w:rFonts w:ascii="Arial" w:hAnsi="Arial" w:cs="Arial"/>
          <w:bCs/>
          <w:color w:val="000000"/>
          <w:sz w:val="22"/>
          <w:szCs w:val="22"/>
          <w:shd w:val="clear" w:color="auto" w:fill="FFFFFF"/>
        </w:rPr>
        <w:t>Спартакский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proofErr w:type="spellStart"/>
      <w:r w:rsidR="0051418B">
        <w:rPr>
          <w:rFonts w:ascii="Arial" w:hAnsi="Arial" w:cs="Arial"/>
          <w:bCs/>
          <w:color w:val="000000"/>
          <w:sz w:val="22"/>
          <w:szCs w:val="22"/>
          <w:shd w:val="clear" w:color="auto" w:fill="FFFFFF"/>
        </w:rPr>
        <w:t>Спартакский</w:t>
      </w:r>
      <w:proofErr w:type="spellEnd"/>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5510EA">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proofErr w:type="spellStart"/>
      <w:r w:rsidR="0051418B">
        <w:rPr>
          <w:rFonts w:cs="Arial"/>
          <w:b/>
          <w:sz w:val="22"/>
          <w:szCs w:val="22"/>
        </w:rPr>
        <w:t>Спартакский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A365BE" w:rsidRPr="00A365BE" w:rsidRDefault="00A365BE" w:rsidP="00A365BE">
      <w:pPr>
        <w:pStyle w:val="ae"/>
        <w:ind w:firstLine="567"/>
        <w:contextualSpacing/>
        <w:jc w:val="both"/>
        <w:rPr>
          <w:rFonts w:cs="Arial"/>
          <w:sz w:val="22"/>
          <w:szCs w:val="22"/>
        </w:rPr>
      </w:pPr>
      <w:r w:rsidRPr="00A365BE">
        <w:rPr>
          <w:rFonts w:cs="Arial"/>
          <w:sz w:val="22"/>
          <w:szCs w:val="22"/>
        </w:rPr>
        <w:lastRenderedPageBreak/>
        <w:t> </w:t>
      </w: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proofErr w:type="spellStart"/>
      <w:r w:rsidR="0051418B">
        <w:rPr>
          <w:rFonts w:cs="Arial"/>
          <w:b/>
          <w:sz w:val="22"/>
          <w:szCs w:val="22"/>
        </w:rPr>
        <w:t>Спартакский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EE786B" w:rsidRPr="00A255E0" w:rsidRDefault="00A255E0" w:rsidP="00944A87">
      <w:pPr>
        <w:pStyle w:val="ae"/>
        <w:ind w:firstLine="441"/>
        <w:contextualSpacing/>
        <w:jc w:val="both"/>
        <w:rPr>
          <w:rFonts w:cs="Arial"/>
          <w:sz w:val="20"/>
        </w:rPr>
      </w:pPr>
      <w:r w:rsidRPr="00A255E0">
        <w:rPr>
          <w:rFonts w:cs="Arial"/>
          <w:sz w:val="22"/>
          <w:szCs w:val="22"/>
        </w:rPr>
        <w:t xml:space="preserve">На территории  сельского поселения </w:t>
      </w:r>
      <w:proofErr w:type="spellStart"/>
      <w:r w:rsidR="0051418B">
        <w:rPr>
          <w:rFonts w:cs="Arial"/>
          <w:sz w:val="22"/>
          <w:szCs w:val="22"/>
        </w:rPr>
        <w:t>Спартакский</w:t>
      </w:r>
      <w:proofErr w:type="spellEnd"/>
      <w:r w:rsidRPr="00A255E0">
        <w:rPr>
          <w:rFonts w:cs="Arial"/>
          <w:sz w:val="22"/>
          <w:szCs w:val="22"/>
        </w:rPr>
        <w:t xml:space="preserve"> сельсовет особо охраняем</w:t>
      </w:r>
      <w:r w:rsidR="00944A87">
        <w:rPr>
          <w:rFonts w:cs="Arial"/>
          <w:sz w:val="22"/>
          <w:szCs w:val="22"/>
        </w:rPr>
        <w:t>ых</w:t>
      </w:r>
      <w:r w:rsidRPr="00A255E0">
        <w:rPr>
          <w:rFonts w:cs="Arial"/>
          <w:sz w:val="22"/>
          <w:szCs w:val="22"/>
        </w:rPr>
        <w:t xml:space="preserve"> </w:t>
      </w:r>
      <w:r>
        <w:rPr>
          <w:rFonts w:cs="Arial"/>
          <w:sz w:val="22"/>
          <w:szCs w:val="22"/>
        </w:rPr>
        <w:t>природн</w:t>
      </w:r>
      <w:r w:rsidR="00944A87">
        <w:rPr>
          <w:rFonts w:cs="Arial"/>
          <w:sz w:val="22"/>
          <w:szCs w:val="22"/>
        </w:rPr>
        <w:t>ых</w:t>
      </w:r>
      <w:r>
        <w:rPr>
          <w:rFonts w:cs="Arial"/>
          <w:sz w:val="22"/>
          <w:szCs w:val="22"/>
        </w:rPr>
        <w:t xml:space="preserve"> </w:t>
      </w:r>
      <w:r w:rsidRPr="00A255E0">
        <w:rPr>
          <w:rFonts w:cs="Arial"/>
          <w:sz w:val="22"/>
          <w:szCs w:val="22"/>
        </w:rPr>
        <w:t>территори</w:t>
      </w:r>
      <w:r w:rsidR="00944A87">
        <w:rPr>
          <w:rFonts w:cs="Arial"/>
          <w:sz w:val="22"/>
          <w:szCs w:val="22"/>
        </w:rPr>
        <w:t>й нет.</w:t>
      </w:r>
      <w:r>
        <w:rPr>
          <w:rFonts w:cs="Arial"/>
          <w:b/>
          <w:sz w:val="22"/>
          <w:szCs w:val="22"/>
        </w:rPr>
        <w:t xml:space="preserve"> </w:t>
      </w:r>
    </w:p>
    <w:p w:rsidR="00A365BE" w:rsidRPr="00A365BE" w:rsidRDefault="00A365BE" w:rsidP="00A365BE">
      <w:pPr>
        <w:pStyle w:val="ae"/>
        <w:ind w:firstLine="441"/>
        <w:contextualSpacing/>
        <w:jc w:val="both"/>
        <w:rPr>
          <w:rFonts w:cs="Arial"/>
          <w:b/>
          <w:sz w:val="22"/>
          <w:szCs w:val="22"/>
        </w:rPr>
      </w:pP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proofErr w:type="spellStart"/>
      <w:r w:rsidR="0051418B">
        <w:rPr>
          <w:rFonts w:cs="Arial"/>
          <w:b/>
          <w:sz w:val="22"/>
          <w:szCs w:val="22"/>
        </w:rPr>
        <w:t>Спартакский</w:t>
      </w:r>
      <w:proofErr w:type="spellEnd"/>
      <w:r w:rsidR="008A4BC1">
        <w:rPr>
          <w:rFonts w:cs="Arial"/>
          <w:b/>
          <w:sz w:val="22"/>
          <w:szCs w:val="22"/>
        </w:rPr>
        <w:t xml:space="preserve"> сельсовет</w:t>
      </w:r>
      <w:r w:rsidRPr="00A365BE">
        <w:rPr>
          <w:rFonts w:cs="Arial"/>
          <w:b/>
          <w:sz w:val="22"/>
          <w:szCs w:val="22"/>
        </w:rPr>
        <w:t xml:space="preserve"> муниципального района </w:t>
      </w:r>
      <w:r w:rsidR="005510EA">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637C47" w:rsidTr="00637C47">
        <w:tc>
          <w:tcPr>
            <w:tcW w:w="675"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637C47" w:rsidRPr="00637C47" w:rsidRDefault="00637C47" w:rsidP="00637C47">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51418B" w:rsidTr="0051418B">
        <w:tc>
          <w:tcPr>
            <w:tcW w:w="675" w:type="dxa"/>
            <w:vAlign w:val="center"/>
          </w:tcPr>
          <w:p w:rsidR="0051418B" w:rsidRDefault="0051418B" w:rsidP="00637C47">
            <w:pPr>
              <w:pStyle w:val="Default"/>
              <w:jc w:val="center"/>
              <w:rPr>
                <w:sz w:val="22"/>
                <w:szCs w:val="22"/>
              </w:rPr>
            </w:pPr>
            <w:r>
              <w:rPr>
                <w:sz w:val="22"/>
                <w:szCs w:val="22"/>
              </w:rPr>
              <w:t>1</w:t>
            </w:r>
          </w:p>
        </w:tc>
        <w:tc>
          <w:tcPr>
            <w:tcW w:w="2977" w:type="dxa"/>
            <w:vAlign w:val="center"/>
          </w:tcPr>
          <w:p w:rsidR="0051418B" w:rsidRPr="0051418B" w:rsidRDefault="0051418B" w:rsidP="0051418B">
            <w:pPr>
              <w:pStyle w:val="Default"/>
              <w:jc w:val="center"/>
            </w:pPr>
            <w:r>
              <w:rPr>
                <w:sz w:val="22"/>
                <w:szCs w:val="22"/>
              </w:rPr>
              <w:t xml:space="preserve">Особняк помещиков Ляховых </w:t>
            </w:r>
          </w:p>
        </w:tc>
        <w:tc>
          <w:tcPr>
            <w:tcW w:w="2270" w:type="dxa"/>
            <w:vAlign w:val="center"/>
          </w:tcPr>
          <w:p w:rsidR="0051418B" w:rsidRPr="0051418B" w:rsidRDefault="0051418B" w:rsidP="0051418B">
            <w:pPr>
              <w:pStyle w:val="Default"/>
              <w:jc w:val="center"/>
            </w:pPr>
            <w:r>
              <w:rPr>
                <w:sz w:val="22"/>
                <w:szCs w:val="22"/>
              </w:rPr>
              <w:t xml:space="preserve">Ермекеевский район, </w:t>
            </w:r>
            <w:proofErr w:type="gramStart"/>
            <w:r>
              <w:rPr>
                <w:sz w:val="22"/>
                <w:szCs w:val="22"/>
              </w:rPr>
              <w:t>с</w:t>
            </w:r>
            <w:proofErr w:type="gramEnd"/>
            <w:r>
              <w:rPr>
                <w:sz w:val="22"/>
                <w:szCs w:val="22"/>
              </w:rPr>
              <w:t xml:space="preserve">. Спартак, ул. Кооперативная, 3 </w:t>
            </w:r>
          </w:p>
        </w:tc>
        <w:tc>
          <w:tcPr>
            <w:tcW w:w="1966" w:type="dxa"/>
            <w:vAlign w:val="center"/>
          </w:tcPr>
          <w:p w:rsidR="0051418B" w:rsidRDefault="0051418B" w:rsidP="0051418B">
            <w:pPr>
              <w:pStyle w:val="Default"/>
              <w:jc w:val="center"/>
              <w:rPr>
                <w:sz w:val="22"/>
                <w:szCs w:val="22"/>
              </w:rPr>
            </w:pPr>
            <w:r>
              <w:rPr>
                <w:sz w:val="22"/>
                <w:szCs w:val="22"/>
              </w:rPr>
              <w:t>Памятник истории и архитектуры</w:t>
            </w:r>
          </w:p>
        </w:tc>
        <w:tc>
          <w:tcPr>
            <w:tcW w:w="1966" w:type="dxa"/>
            <w:vAlign w:val="center"/>
          </w:tcPr>
          <w:p w:rsidR="0051418B" w:rsidRDefault="0051418B" w:rsidP="0051418B">
            <w:pPr>
              <w:pStyle w:val="Default"/>
              <w:jc w:val="center"/>
              <w:rPr>
                <w:sz w:val="22"/>
                <w:szCs w:val="22"/>
              </w:rPr>
            </w:pPr>
            <w:r>
              <w:rPr>
                <w:sz w:val="22"/>
                <w:szCs w:val="22"/>
              </w:rPr>
              <w:t>Кирпичное здание.</w:t>
            </w:r>
          </w:p>
          <w:p w:rsidR="0051418B" w:rsidRDefault="0051418B" w:rsidP="0051418B">
            <w:pPr>
              <w:pStyle w:val="Default"/>
              <w:jc w:val="center"/>
              <w:rPr>
                <w:sz w:val="22"/>
                <w:szCs w:val="22"/>
              </w:rPr>
            </w:pPr>
            <w:r>
              <w:rPr>
                <w:sz w:val="22"/>
                <w:szCs w:val="22"/>
              </w:rPr>
              <w:t>Датировка - вт./пол. XIX в.</w:t>
            </w:r>
          </w:p>
        </w:tc>
      </w:tr>
      <w:tr w:rsidR="00637C47" w:rsidTr="00637C47">
        <w:trPr>
          <w:trHeight w:val="576"/>
        </w:trPr>
        <w:tc>
          <w:tcPr>
            <w:tcW w:w="675" w:type="dxa"/>
          </w:tcPr>
          <w:p w:rsidR="00637C47" w:rsidRDefault="00637C47" w:rsidP="00925E7A"/>
        </w:tc>
        <w:tc>
          <w:tcPr>
            <w:tcW w:w="2977" w:type="dxa"/>
          </w:tcPr>
          <w:p w:rsidR="00637C47" w:rsidRDefault="00637C47" w:rsidP="00925E7A"/>
        </w:tc>
        <w:tc>
          <w:tcPr>
            <w:tcW w:w="2270" w:type="dxa"/>
          </w:tcPr>
          <w:p w:rsidR="00637C47" w:rsidRDefault="00637C47" w:rsidP="00925E7A"/>
        </w:tc>
        <w:tc>
          <w:tcPr>
            <w:tcW w:w="1966" w:type="dxa"/>
          </w:tcPr>
          <w:p w:rsidR="00637C47" w:rsidRDefault="00637C47" w:rsidP="00925E7A"/>
        </w:tc>
        <w:tc>
          <w:tcPr>
            <w:tcW w:w="1966" w:type="dxa"/>
          </w:tcPr>
          <w:p w:rsidR="00637C47" w:rsidRDefault="00637C47" w:rsidP="00925E7A"/>
        </w:tc>
      </w:tr>
    </w:tbl>
    <w:p w:rsidR="00547704" w:rsidRPr="005F6337" w:rsidRDefault="00547704" w:rsidP="00925E7A"/>
    <w:sectPr w:rsidR="00547704" w:rsidRPr="005F6337" w:rsidSect="00B90D63">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3F" w:rsidRDefault="00712C3F" w:rsidP="00B43197">
      <w:pPr>
        <w:spacing w:after="0" w:line="240" w:lineRule="auto"/>
      </w:pPr>
      <w:r>
        <w:separator/>
      </w:r>
    </w:p>
  </w:endnote>
  <w:endnote w:type="continuationSeparator" w:id="0">
    <w:p w:rsidR="00712C3F" w:rsidRDefault="00712C3F"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C36216">
        <w:pPr>
          <w:pStyle w:val="a7"/>
          <w:jc w:val="right"/>
        </w:pPr>
        <w:fldSimple w:instr=" PAGE   \* MERGEFORMAT ">
          <w:r w:rsidR="0051418B">
            <w:rPr>
              <w:noProof/>
            </w:rPr>
            <w:t>111</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3F" w:rsidRDefault="00712C3F" w:rsidP="00B43197">
      <w:pPr>
        <w:spacing w:after="0" w:line="240" w:lineRule="auto"/>
      </w:pPr>
      <w:r>
        <w:separator/>
      </w:r>
    </w:p>
  </w:footnote>
  <w:footnote w:type="continuationSeparator" w:id="0">
    <w:p w:rsidR="00712C3F" w:rsidRDefault="00712C3F"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A35B8"/>
    <w:rsid w:val="000C55C0"/>
    <w:rsid w:val="00107183"/>
    <w:rsid w:val="001B1936"/>
    <w:rsid w:val="00207416"/>
    <w:rsid w:val="002373BA"/>
    <w:rsid w:val="002520E7"/>
    <w:rsid w:val="00252CA1"/>
    <w:rsid w:val="002F60AC"/>
    <w:rsid w:val="003340A3"/>
    <w:rsid w:val="0034625E"/>
    <w:rsid w:val="003520F5"/>
    <w:rsid w:val="00362D38"/>
    <w:rsid w:val="003F7CE6"/>
    <w:rsid w:val="004F62B5"/>
    <w:rsid w:val="00502FCC"/>
    <w:rsid w:val="0051418B"/>
    <w:rsid w:val="00547704"/>
    <w:rsid w:val="005510EA"/>
    <w:rsid w:val="00566F91"/>
    <w:rsid w:val="0057465F"/>
    <w:rsid w:val="005A12AE"/>
    <w:rsid w:val="005C20BC"/>
    <w:rsid w:val="005F6337"/>
    <w:rsid w:val="00602302"/>
    <w:rsid w:val="00637C47"/>
    <w:rsid w:val="006658D6"/>
    <w:rsid w:val="0067766B"/>
    <w:rsid w:val="006B73F0"/>
    <w:rsid w:val="00712C3F"/>
    <w:rsid w:val="00717504"/>
    <w:rsid w:val="0071752B"/>
    <w:rsid w:val="00726F80"/>
    <w:rsid w:val="0074537C"/>
    <w:rsid w:val="00745E30"/>
    <w:rsid w:val="007C110F"/>
    <w:rsid w:val="007E691B"/>
    <w:rsid w:val="008043E8"/>
    <w:rsid w:val="00832866"/>
    <w:rsid w:val="00836710"/>
    <w:rsid w:val="00895E3E"/>
    <w:rsid w:val="008A4BC1"/>
    <w:rsid w:val="008D6969"/>
    <w:rsid w:val="008F4C15"/>
    <w:rsid w:val="00923672"/>
    <w:rsid w:val="00925E7A"/>
    <w:rsid w:val="00944A87"/>
    <w:rsid w:val="00990137"/>
    <w:rsid w:val="009A78F8"/>
    <w:rsid w:val="00A0327C"/>
    <w:rsid w:val="00A255E0"/>
    <w:rsid w:val="00A365BE"/>
    <w:rsid w:val="00AB2A87"/>
    <w:rsid w:val="00AC4DF6"/>
    <w:rsid w:val="00B2439D"/>
    <w:rsid w:val="00B43197"/>
    <w:rsid w:val="00B70D53"/>
    <w:rsid w:val="00B90D63"/>
    <w:rsid w:val="00B91461"/>
    <w:rsid w:val="00BD6577"/>
    <w:rsid w:val="00C12E73"/>
    <w:rsid w:val="00C36216"/>
    <w:rsid w:val="00D068D5"/>
    <w:rsid w:val="00D10D77"/>
    <w:rsid w:val="00D55498"/>
    <w:rsid w:val="00D66D4C"/>
    <w:rsid w:val="00D85F6B"/>
    <w:rsid w:val="00D91EC5"/>
    <w:rsid w:val="00DA57D0"/>
    <w:rsid w:val="00DB52B8"/>
    <w:rsid w:val="00DC7B7F"/>
    <w:rsid w:val="00DD2B4F"/>
    <w:rsid w:val="00E331C8"/>
    <w:rsid w:val="00EC7454"/>
    <w:rsid w:val="00EE786B"/>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table" w:styleId="af6">
    <w:name w:val="Table Grid"/>
    <w:basedOn w:val="a1"/>
    <w:uiPriority w:val="59"/>
    <w:rsid w:val="00637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37C4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C99D16-A1F4-4B37-B13F-6193EFF7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12</Pages>
  <Words>6032</Words>
  <Characters>34386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22</cp:revision>
  <dcterms:created xsi:type="dcterms:W3CDTF">2018-04-17T10:16:00Z</dcterms:created>
  <dcterms:modified xsi:type="dcterms:W3CDTF">2018-10-01T08:07:00Z</dcterms:modified>
</cp:coreProperties>
</file>